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3</w:t>
      </w: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2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034"/>
        <w:gridCol w:w="1230"/>
        <w:gridCol w:w="1320"/>
        <w:gridCol w:w="736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 xml:space="preserve"> 深化国有农场税费改革转移支付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4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岳阳市农业农村局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0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岳阳市农业科学研究院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24.3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24.3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24.3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 xml:space="preserve">   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24.3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24.3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24.3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4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3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4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　</w:t>
            </w:r>
          </w:p>
        </w:tc>
        <w:tc>
          <w:tcPr>
            <w:tcW w:w="43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深化国有农场税费改革转移支付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做好原市农科所、原市菜科所共43名农牧职工基本养老保险缴费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做好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原市农科所、原市菜科所共43名农牧职工基本养老保险缴费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解决参保后续资金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24.3万元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24.3万元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解决参保后续资金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2022年度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2022年度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经济成本指标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全年支出控制在预算内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没超过预算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社会成本指标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预算内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控制在预算内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生态环境成本指标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生态效益与经济效益统一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达到平衡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社会效益与经济效益统一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社会效益与经济效益统一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社会效益与经济效益统一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7.5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7.5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维护一方社会稳定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社会稳定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社会稳定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7.5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7.5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解决农牧工参保后续资金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解决农牧工参保后续资金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解决农牧工参保后续资金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7.5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7.5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可持续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可持续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7.5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7.5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满意度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满意度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填表人：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彭尧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 xml:space="preserve">  填报日期：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val="en-US" w:eastAsia="zh-CN"/>
        </w:rPr>
        <w:t>2024年6月27日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 xml:space="preserve"> 联系电话：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val="en-US" w:eastAsia="zh-CN"/>
        </w:rPr>
        <w:t>0730-3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val="en-US" w:eastAsia="zh-CN"/>
        </w:rPr>
        <w:t xml:space="preserve">050819 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lYjQxMzlmNTQ0ZmQ2M2ZlYjY0NzJmMDZhNjk1YmIifQ=="/>
  </w:docVars>
  <w:rsids>
    <w:rsidRoot w:val="31740915"/>
    <w:rsid w:val="31740915"/>
    <w:rsid w:val="7D7D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2024-06-21T01:54:00Z</dcterms:created>
  <dc:creator>彭尧</dc:creator>
  <cp:lastModifiedBy>彭尧</cp:lastModifiedBy>
  <cp:lastPrinted>2024-06-27T07:03:29Z</cp:lastPrinted>
  <dcterms:modified xsi:type="dcterms:W3CDTF">2024-06-27T07:03:51Z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735448D357BF4E98B847BF05DF70578F_11</vt:lpwstr>
  </property>
</Properties>
</file>