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附件4</w:t>
      </w:r>
    </w:p>
    <w:p>
      <w:pPr>
        <w:jc w:val="center"/>
        <w:rPr>
          <w:rFonts w:ascii="Times New Roman" w:hAnsi="Times New Roman" w:eastAsia="方正小标宋_GBK"/>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2023年度岳阳市洞庭湖江豚保护中心</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jc w:val="center"/>
        <w:rPr>
          <w:rFonts w:ascii="Times New Roman" w:hAnsi="Times New Roman" w:eastAsia="方正小标宋_GBK"/>
          <w:b/>
          <w:sz w:val="52"/>
          <w:szCs w:val="5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spacing w:line="600" w:lineRule="exact"/>
        <w:jc w:val="center"/>
        <w:rPr>
          <w:rFonts w:ascii="Times New Roman" w:hAnsi="Times New Roman" w:eastAsia="仿宋_GB2312"/>
          <w:sz w:val="32"/>
          <w:szCs w:val="32"/>
          <w:u w:val="single"/>
        </w:rPr>
      </w:pPr>
      <w:r>
        <w:rPr>
          <w:rFonts w:ascii="Times New Roman" w:hAnsi="Times New Roman" w:eastAsia="仿宋_GB2312"/>
          <w:sz w:val="32"/>
          <w:szCs w:val="32"/>
        </w:rPr>
        <w:t>部门（单位）名称：</w:t>
      </w:r>
      <w:r>
        <w:rPr>
          <w:rFonts w:ascii="Times New Roman" w:hAnsi="Times New Roman" w:eastAsia="仿宋_GB2312"/>
          <w:sz w:val="32"/>
          <w:szCs w:val="32"/>
          <w:u w:val="single"/>
        </w:rPr>
        <w:t>（盖章）</w:t>
      </w: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2024</w:t>
      </w:r>
      <w:r>
        <w:rPr>
          <w:rFonts w:ascii="Times New Roman" w:hAnsi="Times New Roman" w:eastAsia="楷体_GB2312"/>
          <w:sz w:val="32"/>
          <w:szCs w:val="32"/>
        </w:rPr>
        <w:t>年</w:t>
      </w:r>
      <w:r>
        <w:rPr>
          <w:rFonts w:hint="eastAsia" w:ascii="Times New Roman" w:hAnsi="Times New Roman" w:eastAsia="楷体_GB2312"/>
          <w:sz w:val="32"/>
          <w:szCs w:val="32"/>
        </w:rPr>
        <w:t>6</w:t>
      </w:r>
      <w:r>
        <w:rPr>
          <w:rFonts w:ascii="Times New Roman" w:hAnsi="Times New Roman" w:eastAsia="楷体_GB2312"/>
          <w:sz w:val="32"/>
          <w:szCs w:val="32"/>
        </w:rPr>
        <w:t xml:space="preserve"> 月</w:t>
      </w:r>
      <w:r>
        <w:rPr>
          <w:rFonts w:hint="eastAsia" w:ascii="Times New Roman" w:hAnsi="Times New Roman" w:eastAsia="楷体_GB2312"/>
          <w:sz w:val="32"/>
          <w:szCs w:val="32"/>
        </w:rPr>
        <w:t>25</w:t>
      </w:r>
      <w:r>
        <w:rPr>
          <w:rFonts w:ascii="Times New Roman" w:hAnsi="Times New Roman" w:eastAsia="楷体_GB2312"/>
          <w:sz w:val="32"/>
          <w:szCs w:val="32"/>
        </w:rPr>
        <w:t>日</w:t>
      </w:r>
    </w:p>
    <w:p>
      <w:pPr>
        <w:jc w:val="center"/>
        <w:rPr>
          <w:rFonts w:ascii="方正小标宋简体" w:hAnsi="方正小标宋简体" w:eastAsia="方正小标宋简体" w:cs="方正小标宋简体"/>
          <w:sz w:val="44"/>
          <w:szCs w:val="44"/>
        </w:rPr>
      </w:pPr>
      <w:r>
        <w:rPr>
          <w:rFonts w:ascii="Times New Roman" w:hAnsi="Times New Roman" w:eastAsia="仿宋_GB2312"/>
          <w:sz w:val="32"/>
          <w:szCs w:val="32"/>
        </w:rPr>
        <w:br w:type="page"/>
      </w:r>
      <w:r>
        <w:rPr>
          <w:rFonts w:hint="eastAsia" w:ascii="方正小标宋简体" w:hAnsi="方正小标宋简体" w:eastAsia="方正小标宋简体" w:cs="方正小标宋简体"/>
          <w:sz w:val="44"/>
          <w:szCs w:val="44"/>
        </w:rPr>
        <w:t>2023年度岳阳市洞庭湖江豚保护中心</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spacing w:line="640" w:lineRule="exact"/>
        <w:ind w:firstLine="640" w:firstLineChars="200"/>
        <w:rPr>
          <w:rFonts w:ascii="Times New Roman" w:hAnsi="Times New Roman" w:eastAsia="仿宋_GB2312"/>
          <w:sz w:val="32"/>
          <w:szCs w:val="32"/>
        </w:rPr>
      </w:pPr>
    </w:p>
    <w:p>
      <w:pPr>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一、部门（单位）基本情况</w:t>
      </w:r>
    </w:p>
    <w:p>
      <w:pPr>
        <w:pStyle w:val="2"/>
        <w:ind w:firstLine="643"/>
      </w:pPr>
      <w:r>
        <w:rPr>
          <w:rFonts w:hint="eastAsia"/>
        </w:rPr>
        <w:t>（一）职责情况</w:t>
      </w:r>
    </w:p>
    <w:p>
      <w:pPr>
        <w:widowControl/>
        <w:spacing w:line="640" w:lineRule="exact"/>
        <w:ind w:firstLine="640"/>
        <w:rPr>
          <w:color w:val="000000"/>
          <w:szCs w:val="32"/>
        </w:rPr>
      </w:pPr>
      <w:r>
        <w:rPr>
          <w:rFonts w:hint="eastAsia" w:ascii="Times New Roman" w:hAnsi="Times New Roman" w:eastAsia="仿宋_GB2312"/>
          <w:color w:val="000000"/>
          <w:sz w:val="32"/>
          <w:szCs w:val="32"/>
        </w:rPr>
        <w:t>岳阳市洞庭湖江豚保护中心，业务归口市农业农村局主管，为正科级公益一类全额拨款事业单位。</w:t>
      </w:r>
    </w:p>
    <w:p>
      <w:pPr>
        <w:widowControl/>
        <w:spacing w:line="640" w:lineRule="exact"/>
        <w:ind w:firstLine="632"/>
        <w:rPr>
          <w:color w:val="000000"/>
          <w:szCs w:val="32"/>
        </w:rPr>
      </w:pPr>
      <w:r>
        <w:rPr>
          <w:rFonts w:hint="eastAsia" w:ascii="Times New Roman" w:hAnsi="Times New Roman" w:eastAsia="仿宋_GB2312"/>
          <w:color w:val="000000"/>
          <w:sz w:val="32"/>
          <w:szCs w:val="32"/>
        </w:rPr>
        <w:t>主要职能职责有：</w:t>
      </w:r>
    </w:p>
    <w:p>
      <w:pPr>
        <w:widowControl/>
        <w:spacing w:line="640" w:lineRule="exact"/>
        <w:ind w:firstLine="640"/>
        <w:rPr>
          <w:color w:val="000000"/>
          <w:szCs w:val="32"/>
        </w:rPr>
      </w:pPr>
      <w:r>
        <w:rPr>
          <w:rFonts w:hint="eastAsia"/>
          <w:color w:val="000000"/>
          <w:sz w:val="32"/>
          <w:szCs w:val="32"/>
        </w:rPr>
        <w:t>（1）</w:t>
      </w:r>
      <w:r>
        <w:rPr>
          <w:rFonts w:hint="eastAsia" w:ascii="Times New Roman" w:hAnsi="Times New Roman" w:eastAsia="仿宋_GB2312"/>
          <w:color w:val="000000"/>
          <w:sz w:val="32"/>
          <w:szCs w:val="32"/>
        </w:rPr>
        <w:t>承担水产种质资源保护区内水生生物资源及其生存环境的监测、资源养护和生态修复等工作</w:t>
      </w:r>
      <w:r>
        <w:rPr>
          <w:rFonts w:hint="eastAsia"/>
          <w:color w:val="000000"/>
          <w:szCs w:val="32"/>
        </w:rPr>
        <w:t>。</w:t>
      </w:r>
    </w:p>
    <w:p>
      <w:pPr>
        <w:widowControl/>
        <w:spacing w:line="640" w:lineRule="exact"/>
        <w:ind w:firstLine="640"/>
        <w:rPr>
          <w:color w:val="000000"/>
          <w:szCs w:val="32"/>
        </w:rPr>
      </w:pPr>
      <w:r>
        <w:rPr>
          <w:rFonts w:hint="eastAsia"/>
          <w:color w:val="000000"/>
          <w:sz w:val="32"/>
          <w:szCs w:val="32"/>
        </w:rPr>
        <w:t>（2）</w:t>
      </w:r>
      <w:r>
        <w:rPr>
          <w:rFonts w:hint="eastAsia" w:ascii="Times New Roman" w:hAnsi="Times New Roman" w:eastAsia="仿宋_GB2312"/>
          <w:color w:val="000000"/>
          <w:sz w:val="32"/>
          <w:szCs w:val="32"/>
        </w:rPr>
        <w:t>承担保护区及长江岳阳段范围内珍贵、濒危水生野生动物保护工作；承担长江江豚的救护和驯养繁殖研究工作。</w:t>
      </w:r>
    </w:p>
    <w:p>
      <w:pPr>
        <w:widowControl/>
        <w:spacing w:line="640" w:lineRule="exact"/>
        <w:ind w:firstLine="640"/>
        <w:rPr>
          <w:color w:val="000000"/>
          <w:szCs w:val="32"/>
        </w:rPr>
      </w:pPr>
      <w:r>
        <w:rPr>
          <w:rFonts w:hint="eastAsia"/>
          <w:color w:val="000000"/>
          <w:sz w:val="32"/>
          <w:szCs w:val="32"/>
        </w:rPr>
        <w:t>（3）</w:t>
      </w:r>
      <w:r>
        <w:rPr>
          <w:rFonts w:hint="eastAsia" w:ascii="Times New Roman" w:hAnsi="Times New Roman" w:eastAsia="仿宋_GB2312"/>
          <w:color w:val="000000"/>
          <w:sz w:val="32"/>
          <w:szCs w:val="32"/>
        </w:rPr>
        <w:t>根据授权，承担保护区范围内涉水涉渔工程项目监管及生态补偿资金和生态补偿措施落实的行政辅助工作。</w:t>
      </w:r>
    </w:p>
    <w:p>
      <w:pPr>
        <w:pStyle w:val="2"/>
        <w:ind w:firstLine="643"/>
      </w:pPr>
      <w:r>
        <w:rPr>
          <w:rFonts w:hint="eastAsia"/>
        </w:rPr>
        <w:t>（二）机构情况</w:t>
      </w:r>
    </w:p>
    <w:p>
      <w:pPr>
        <w:pStyle w:val="2"/>
        <w:ind w:firstLine="640"/>
        <w:rPr>
          <w:rFonts w:eastAsia="仿宋_GB2312"/>
          <w:b w:val="0"/>
          <w:bCs w:val="0"/>
          <w:color w:val="000000"/>
        </w:rPr>
      </w:pPr>
      <w:r>
        <w:rPr>
          <w:rFonts w:hint="eastAsia" w:eastAsia="仿宋_GB2312"/>
          <w:b w:val="0"/>
          <w:bCs w:val="0"/>
          <w:color w:val="000000"/>
        </w:rPr>
        <w:t>岳阳市洞庭湖江豚保护中心内设2个科室：办公室、观测站。</w:t>
      </w:r>
    </w:p>
    <w:p>
      <w:pPr>
        <w:pStyle w:val="2"/>
        <w:ind w:firstLine="643"/>
      </w:pPr>
      <w:r>
        <w:rPr>
          <w:rFonts w:hint="eastAsia"/>
        </w:rPr>
        <w:t>（三）</w:t>
      </w:r>
      <w:r>
        <w:t>人员情况</w:t>
      </w:r>
    </w:p>
    <w:p>
      <w:pPr>
        <w:widowControl/>
        <w:spacing w:line="640" w:lineRule="exact"/>
        <w:ind w:firstLine="632"/>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岳阳市洞庭湖江豚保护中心核定全额拨款事业编制11人，2023年末实有在职人数9人，退休人员1人。</w:t>
      </w:r>
    </w:p>
    <w:p>
      <w:pPr>
        <w:pStyle w:val="11"/>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pStyle w:val="11"/>
        <w:widowControl/>
        <w:spacing w:line="640" w:lineRule="exact"/>
        <w:ind w:firstLine="643"/>
        <w:rPr>
          <w:rFonts w:ascii="Times New Roman" w:hAnsi="Times New Roman" w:eastAsia="楷体_GB2312"/>
          <w:b/>
          <w:sz w:val="32"/>
          <w:szCs w:val="32"/>
        </w:rPr>
      </w:pPr>
      <w:r>
        <w:rPr>
          <w:rFonts w:ascii="Times New Roman" w:hAnsi="Times New Roman" w:eastAsia="楷体_GB2312"/>
          <w:b/>
          <w:sz w:val="32"/>
          <w:szCs w:val="32"/>
        </w:rPr>
        <w:t>（一）基本支出情况</w:t>
      </w:r>
    </w:p>
    <w:p>
      <w:pPr>
        <w:ind w:firstLine="640"/>
        <w:rPr>
          <w:rFonts w:ascii="Times New Roman" w:hAnsi="Times New Roman" w:eastAsia="仿宋_GB2312"/>
          <w:color w:val="000000"/>
          <w:kern w:val="2"/>
          <w:sz w:val="32"/>
          <w:szCs w:val="32"/>
        </w:rPr>
      </w:pPr>
      <w:r>
        <w:rPr>
          <w:rFonts w:ascii="Times New Roman" w:hAnsi="Times New Roman" w:eastAsia="仿宋_GB2312"/>
          <w:color w:val="000000"/>
          <w:kern w:val="2"/>
          <w:sz w:val="32"/>
          <w:szCs w:val="32"/>
        </w:rPr>
        <w:t>202</w:t>
      </w:r>
      <w:r>
        <w:rPr>
          <w:rFonts w:hint="eastAsia" w:ascii="Times New Roman" w:hAnsi="Times New Roman" w:eastAsia="仿宋_GB2312"/>
          <w:color w:val="000000"/>
          <w:kern w:val="2"/>
          <w:sz w:val="32"/>
          <w:szCs w:val="32"/>
        </w:rPr>
        <w:t>3</w:t>
      </w:r>
      <w:r>
        <w:rPr>
          <w:rFonts w:ascii="Times New Roman" w:hAnsi="Times New Roman" w:eastAsia="仿宋_GB2312"/>
          <w:color w:val="000000"/>
          <w:kern w:val="2"/>
          <w:sz w:val="32"/>
          <w:szCs w:val="32"/>
        </w:rPr>
        <w:t>年基本支出为</w:t>
      </w:r>
      <w:r>
        <w:rPr>
          <w:rFonts w:hint="eastAsia" w:ascii="Times New Roman" w:hAnsi="Times New Roman" w:eastAsia="仿宋_GB2312"/>
          <w:color w:val="000000"/>
          <w:kern w:val="2"/>
          <w:sz w:val="32"/>
          <w:szCs w:val="32"/>
        </w:rPr>
        <w:t>121.73</w:t>
      </w:r>
      <w:r>
        <w:rPr>
          <w:rFonts w:ascii="Times New Roman" w:hAnsi="Times New Roman" w:eastAsia="仿宋_GB2312"/>
          <w:color w:val="000000"/>
          <w:kern w:val="2"/>
          <w:sz w:val="32"/>
          <w:szCs w:val="32"/>
        </w:rPr>
        <w:t>万元</w:t>
      </w:r>
      <w:r>
        <w:rPr>
          <w:rFonts w:hint="eastAsia" w:ascii="Times New Roman" w:hAnsi="Times New Roman" w:eastAsia="仿宋_GB2312"/>
          <w:color w:val="000000"/>
          <w:kern w:val="2"/>
          <w:sz w:val="32"/>
          <w:szCs w:val="32"/>
        </w:rPr>
        <w:t>，</w:t>
      </w:r>
      <w:r>
        <w:rPr>
          <w:rFonts w:ascii="Times New Roman" w:hAnsi="Times New Roman" w:eastAsia="仿宋_GB2312"/>
          <w:color w:val="000000"/>
          <w:kern w:val="2"/>
          <w:sz w:val="32"/>
          <w:szCs w:val="32"/>
        </w:rPr>
        <w:t>其中</w:t>
      </w:r>
      <w:r>
        <w:rPr>
          <w:rFonts w:hint="eastAsia" w:ascii="Times New Roman" w:hAnsi="Times New Roman" w:eastAsia="仿宋_GB2312"/>
          <w:color w:val="000000"/>
          <w:kern w:val="2"/>
          <w:sz w:val="32"/>
          <w:szCs w:val="32"/>
        </w:rPr>
        <w:t>：</w:t>
      </w:r>
      <w:r>
        <w:rPr>
          <w:rFonts w:ascii="Times New Roman" w:hAnsi="Times New Roman" w:eastAsia="仿宋_GB2312"/>
          <w:color w:val="000000"/>
          <w:kern w:val="2"/>
          <w:sz w:val="32"/>
          <w:szCs w:val="32"/>
        </w:rPr>
        <w:t>工资福利支出</w:t>
      </w:r>
      <w:r>
        <w:rPr>
          <w:rFonts w:hint="eastAsia" w:ascii="Times New Roman" w:hAnsi="Times New Roman" w:eastAsia="仿宋_GB2312"/>
          <w:color w:val="000000"/>
          <w:kern w:val="2"/>
          <w:sz w:val="32"/>
          <w:szCs w:val="32"/>
        </w:rPr>
        <w:t>113.68</w:t>
      </w:r>
      <w:r>
        <w:rPr>
          <w:rFonts w:ascii="Times New Roman" w:hAnsi="Times New Roman" w:eastAsia="仿宋_GB2312"/>
          <w:color w:val="000000"/>
          <w:kern w:val="2"/>
          <w:sz w:val="32"/>
          <w:szCs w:val="32"/>
        </w:rPr>
        <w:t>万元，商品和服务支出</w:t>
      </w:r>
      <w:r>
        <w:rPr>
          <w:rFonts w:hint="eastAsia" w:ascii="Times New Roman" w:hAnsi="Times New Roman" w:eastAsia="仿宋_GB2312"/>
          <w:color w:val="000000"/>
          <w:kern w:val="2"/>
          <w:sz w:val="32"/>
          <w:szCs w:val="32"/>
        </w:rPr>
        <w:t>8.05</w:t>
      </w:r>
      <w:r>
        <w:rPr>
          <w:rFonts w:ascii="Times New Roman" w:hAnsi="Times New Roman" w:eastAsia="仿宋_GB2312"/>
          <w:color w:val="000000"/>
          <w:kern w:val="2"/>
          <w:sz w:val="32"/>
          <w:szCs w:val="32"/>
        </w:rPr>
        <w:t>万元。</w:t>
      </w:r>
    </w:p>
    <w:p>
      <w:pPr>
        <w:pStyle w:val="11"/>
        <w:widowControl/>
        <w:spacing w:line="640" w:lineRule="exact"/>
        <w:ind w:firstLine="643"/>
        <w:rPr>
          <w:rFonts w:ascii="Times New Roman" w:hAnsi="Times New Roman" w:eastAsia="楷体_GB2312"/>
          <w:b/>
          <w:sz w:val="32"/>
          <w:szCs w:val="32"/>
        </w:rPr>
      </w:pPr>
      <w:r>
        <w:rPr>
          <w:rFonts w:ascii="Times New Roman" w:hAnsi="Times New Roman" w:eastAsia="楷体_GB2312"/>
          <w:b/>
          <w:sz w:val="32"/>
          <w:szCs w:val="32"/>
        </w:rPr>
        <w:t>（二）项目支出情况</w:t>
      </w:r>
    </w:p>
    <w:p>
      <w:pPr>
        <w:ind w:firstLine="640"/>
        <w:rPr>
          <w:rFonts w:hint="eastAsia" w:ascii="Times New Roman" w:hAnsi="Times New Roman" w:eastAsia="仿宋_GB2312"/>
          <w:color w:val="000000"/>
          <w:kern w:val="2"/>
          <w:sz w:val="32"/>
          <w:szCs w:val="32"/>
        </w:rPr>
      </w:pPr>
      <w:r>
        <w:rPr>
          <w:rFonts w:ascii="Times New Roman" w:hAnsi="Times New Roman" w:eastAsia="仿宋_GB2312"/>
          <w:color w:val="000000"/>
          <w:kern w:val="2"/>
          <w:sz w:val="32"/>
          <w:szCs w:val="32"/>
        </w:rPr>
        <w:t>202</w:t>
      </w:r>
      <w:r>
        <w:rPr>
          <w:rFonts w:hint="eastAsia" w:ascii="Times New Roman" w:hAnsi="Times New Roman" w:eastAsia="仿宋_GB2312"/>
          <w:color w:val="000000"/>
          <w:kern w:val="2"/>
          <w:sz w:val="32"/>
          <w:szCs w:val="32"/>
        </w:rPr>
        <w:t>3</w:t>
      </w:r>
      <w:r>
        <w:rPr>
          <w:rFonts w:ascii="Times New Roman" w:hAnsi="Times New Roman" w:eastAsia="仿宋_GB2312"/>
          <w:color w:val="000000"/>
          <w:kern w:val="2"/>
          <w:sz w:val="32"/>
          <w:szCs w:val="32"/>
        </w:rPr>
        <w:t>年</w:t>
      </w:r>
      <w:r>
        <w:rPr>
          <w:rFonts w:hint="eastAsia" w:ascii="Times New Roman" w:hAnsi="Times New Roman" w:eastAsia="仿宋_GB2312"/>
          <w:color w:val="000000"/>
          <w:kern w:val="2"/>
          <w:sz w:val="32"/>
          <w:szCs w:val="32"/>
        </w:rPr>
        <w:t>项目</w:t>
      </w:r>
      <w:r>
        <w:rPr>
          <w:rFonts w:ascii="Times New Roman" w:hAnsi="Times New Roman" w:eastAsia="仿宋_GB2312"/>
          <w:color w:val="000000"/>
          <w:kern w:val="2"/>
          <w:sz w:val="32"/>
          <w:szCs w:val="32"/>
        </w:rPr>
        <w:t>支</w:t>
      </w:r>
      <w:r>
        <w:rPr>
          <w:rFonts w:hint="eastAsia" w:ascii="Times New Roman" w:hAnsi="Times New Roman" w:eastAsia="仿宋_GB2312"/>
          <w:color w:val="000000"/>
          <w:kern w:val="2"/>
          <w:sz w:val="32"/>
          <w:szCs w:val="32"/>
        </w:rPr>
        <w:t>出</w:t>
      </w:r>
      <w:r>
        <w:rPr>
          <w:rFonts w:ascii="Times New Roman" w:hAnsi="Times New Roman" w:eastAsia="仿宋_GB2312"/>
          <w:color w:val="000000"/>
          <w:kern w:val="2"/>
          <w:sz w:val="32"/>
          <w:szCs w:val="32"/>
        </w:rPr>
        <w:t>为</w:t>
      </w:r>
      <w:r>
        <w:rPr>
          <w:rFonts w:hint="eastAsia" w:ascii="Times New Roman" w:hAnsi="Times New Roman" w:eastAsia="仿宋_GB2312"/>
          <w:color w:val="000000"/>
          <w:kern w:val="2"/>
          <w:sz w:val="32"/>
          <w:szCs w:val="32"/>
        </w:rPr>
        <w:t>310.99</w:t>
      </w:r>
      <w:r>
        <w:rPr>
          <w:rFonts w:ascii="Times New Roman" w:hAnsi="Times New Roman" w:eastAsia="仿宋_GB2312"/>
          <w:color w:val="000000"/>
          <w:kern w:val="2"/>
          <w:sz w:val="32"/>
          <w:szCs w:val="32"/>
        </w:rPr>
        <w:t>万元</w:t>
      </w:r>
      <w:r>
        <w:rPr>
          <w:rFonts w:hint="eastAsia" w:ascii="Times New Roman" w:hAnsi="Times New Roman" w:eastAsia="仿宋_GB2312"/>
          <w:color w:val="000000"/>
          <w:kern w:val="2"/>
          <w:sz w:val="32"/>
          <w:szCs w:val="32"/>
        </w:rPr>
        <w:t>，</w:t>
      </w:r>
      <w:r>
        <w:rPr>
          <w:rFonts w:ascii="Times New Roman" w:hAnsi="Times New Roman" w:eastAsia="仿宋_GB2312"/>
          <w:color w:val="000000"/>
          <w:kern w:val="2"/>
          <w:sz w:val="32"/>
          <w:szCs w:val="32"/>
        </w:rPr>
        <w:t>其中</w:t>
      </w:r>
      <w:r>
        <w:rPr>
          <w:rFonts w:hint="eastAsia" w:ascii="Times New Roman" w:hAnsi="Times New Roman" w:eastAsia="仿宋_GB2312"/>
          <w:color w:val="000000"/>
          <w:kern w:val="2"/>
          <w:sz w:val="32"/>
          <w:szCs w:val="32"/>
        </w:rPr>
        <w:t>市级专项目资金支出62.70万元。</w:t>
      </w:r>
    </w:p>
    <w:p>
      <w:pPr>
        <w:spacing w:line="360" w:lineRule="exact"/>
        <w:ind w:firstLine="641"/>
        <w:jc w:val="center"/>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市级专项资金预决算情况表</w:t>
      </w:r>
    </w:p>
    <w:p>
      <w:pPr>
        <w:spacing w:line="360" w:lineRule="exact"/>
        <w:ind w:firstLine="641"/>
        <w:jc w:val="right"/>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单位：万元</w:t>
      </w:r>
    </w:p>
    <w:tbl>
      <w:tblPr>
        <w:tblStyle w:val="8"/>
        <w:tblW w:w="5496"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123"/>
        <w:gridCol w:w="2505"/>
        <w:gridCol w:w="273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1" w:type="pct"/>
          </w:tcPr>
          <w:p>
            <w:pPr>
              <w:spacing w:line="440" w:lineRule="exact"/>
              <w:jc w:val="center"/>
              <w:rPr>
                <w:rFonts w:hint="eastAsia" w:ascii="Times New Roman" w:hAnsi="Times New Roman" w:eastAsia="仿宋_GB2312"/>
                <w:b/>
                <w:color w:val="000000"/>
                <w:kern w:val="2"/>
                <w:sz w:val="32"/>
                <w:szCs w:val="32"/>
              </w:rPr>
            </w:pPr>
            <w:r>
              <w:rPr>
                <w:rFonts w:hint="eastAsia" w:ascii="Times New Roman" w:hAnsi="Times New Roman" w:eastAsia="仿宋_GB2312"/>
                <w:b/>
                <w:color w:val="000000"/>
                <w:kern w:val="2"/>
                <w:sz w:val="32"/>
                <w:szCs w:val="32"/>
              </w:rPr>
              <w:t>项目名称</w:t>
            </w:r>
          </w:p>
        </w:tc>
        <w:tc>
          <w:tcPr>
            <w:tcW w:w="1337" w:type="pct"/>
          </w:tcPr>
          <w:p>
            <w:pPr>
              <w:spacing w:line="440" w:lineRule="exact"/>
              <w:rPr>
                <w:rFonts w:hint="eastAsia" w:ascii="Times New Roman" w:hAnsi="Times New Roman" w:eastAsia="仿宋_GB2312"/>
                <w:b/>
                <w:color w:val="000000"/>
                <w:kern w:val="2"/>
                <w:sz w:val="32"/>
                <w:szCs w:val="32"/>
              </w:rPr>
            </w:pPr>
            <w:r>
              <w:rPr>
                <w:rFonts w:hint="eastAsia" w:ascii="Times New Roman" w:hAnsi="Times New Roman" w:eastAsia="仿宋_GB2312"/>
                <w:b/>
                <w:color w:val="000000"/>
                <w:kern w:val="2"/>
                <w:sz w:val="32"/>
                <w:szCs w:val="32"/>
              </w:rPr>
              <w:t>2023年预算数</w:t>
            </w:r>
          </w:p>
        </w:tc>
        <w:tc>
          <w:tcPr>
            <w:tcW w:w="1463" w:type="pct"/>
          </w:tcPr>
          <w:p>
            <w:pPr>
              <w:spacing w:line="440" w:lineRule="exact"/>
              <w:jc w:val="center"/>
              <w:rPr>
                <w:rFonts w:hint="eastAsia" w:ascii="Times New Roman" w:hAnsi="Times New Roman" w:eastAsia="仿宋_GB2312"/>
                <w:b/>
                <w:color w:val="000000"/>
                <w:kern w:val="2"/>
                <w:sz w:val="32"/>
                <w:szCs w:val="32"/>
              </w:rPr>
            </w:pPr>
            <w:r>
              <w:rPr>
                <w:rFonts w:hint="eastAsia" w:ascii="Times New Roman" w:hAnsi="Times New Roman" w:eastAsia="仿宋_GB2312"/>
                <w:b/>
                <w:color w:val="000000"/>
                <w:kern w:val="2"/>
                <w:sz w:val="32"/>
                <w:szCs w:val="32"/>
              </w:rPr>
              <w:t>2023年决算数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1" w:type="pct"/>
          </w:tcPr>
          <w:p>
            <w:pPr>
              <w:spacing w:line="440" w:lineRule="exact"/>
              <w:jc w:val="center"/>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总预备费</w:t>
            </w:r>
          </w:p>
        </w:tc>
        <w:tc>
          <w:tcPr>
            <w:tcW w:w="1337" w:type="pct"/>
          </w:tcPr>
          <w:p>
            <w:pPr>
              <w:spacing w:line="440" w:lineRule="exact"/>
              <w:ind w:firstLine="641"/>
              <w:jc w:val="left"/>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2</w:t>
            </w:r>
          </w:p>
        </w:tc>
        <w:tc>
          <w:tcPr>
            <w:tcW w:w="1463" w:type="pct"/>
          </w:tcPr>
          <w:p>
            <w:pPr>
              <w:spacing w:line="440" w:lineRule="exact"/>
              <w:ind w:firstLine="641"/>
              <w:jc w:val="left"/>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1" w:type="pct"/>
          </w:tcPr>
          <w:p>
            <w:pPr>
              <w:spacing w:line="440" w:lineRule="exact"/>
              <w:jc w:val="center"/>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水域环境综合整治资金</w:t>
            </w:r>
          </w:p>
        </w:tc>
        <w:tc>
          <w:tcPr>
            <w:tcW w:w="1337" w:type="pct"/>
          </w:tcPr>
          <w:p>
            <w:pPr>
              <w:spacing w:line="440" w:lineRule="exact"/>
              <w:ind w:firstLine="641"/>
              <w:jc w:val="left"/>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22.15</w:t>
            </w:r>
          </w:p>
        </w:tc>
        <w:tc>
          <w:tcPr>
            <w:tcW w:w="1463" w:type="pct"/>
          </w:tcPr>
          <w:p>
            <w:pPr>
              <w:spacing w:line="440" w:lineRule="exact"/>
              <w:ind w:firstLine="641"/>
              <w:jc w:val="left"/>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14.15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1" w:type="pct"/>
          </w:tcPr>
          <w:p>
            <w:pPr>
              <w:spacing w:line="440" w:lineRule="exact"/>
              <w:jc w:val="center"/>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长江江豚保护专项经费</w:t>
            </w:r>
          </w:p>
        </w:tc>
        <w:tc>
          <w:tcPr>
            <w:tcW w:w="1337" w:type="pct"/>
          </w:tcPr>
          <w:p>
            <w:pPr>
              <w:spacing w:line="440" w:lineRule="exact"/>
              <w:ind w:firstLine="641"/>
              <w:jc w:val="left"/>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63.83</w:t>
            </w:r>
          </w:p>
        </w:tc>
        <w:tc>
          <w:tcPr>
            <w:tcW w:w="1463" w:type="pct"/>
          </w:tcPr>
          <w:p>
            <w:pPr>
              <w:spacing w:line="440" w:lineRule="exact"/>
              <w:ind w:firstLine="641"/>
              <w:jc w:val="left"/>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48.55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201" w:type="pct"/>
          </w:tcPr>
          <w:p>
            <w:pPr>
              <w:spacing w:line="440" w:lineRule="exact"/>
              <w:jc w:val="center"/>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合计</w:t>
            </w:r>
          </w:p>
        </w:tc>
        <w:tc>
          <w:tcPr>
            <w:tcW w:w="1337" w:type="pct"/>
          </w:tcPr>
          <w:p>
            <w:pPr>
              <w:spacing w:line="440" w:lineRule="exact"/>
              <w:ind w:firstLine="641"/>
              <w:jc w:val="left"/>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87.98</w:t>
            </w:r>
          </w:p>
        </w:tc>
        <w:tc>
          <w:tcPr>
            <w:tcW w:w="1463" w:type="pct"/>
          </w:tcPr>
          <w:p>
            <w:pPr>
              <w:spacing w:line="440" w:lineRule="exact"/>
              <w:ind w:firstLine="641"/>
              <w:jc w:val="left"/>
              <w:rPr>
                <w:rFonts w:hint="eastAsia"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62.70</w:t>
            </w:r>
          </w:p>
        </w:tc>
      </w:tr>
    </w:tbl>
    <w:p>
      <w:pPr>
        <w:pStyle w:val="11"/>
        <w:widowControl/>
        <w:spacing w:line="640" w:lineRule="exact"/>
        <w:ind w:firstLine="640"/>
        <w:rPr>
          <w:rFonts w:hint="eastAsia" w:ascii="Times New Roman" w:hAnsi="Times New Roman" w:eastAsia="黑体"/>
          <w:sz w:val="32"/>
          <w:szCs w:val="32"/>
        </w:rPr>
      </w:pPr>
      <w:r>
        <w:rPr>
          <w:rFonts w:ascii="Times New Roman" w:hAnsi="Times New Roman" w:eastAsia="黑体"/>
          <w:sz w:val="32"/>
          <w:szCs w:val="32"/>
        </w:rPr>
        <w:t>三、政府性基金预算支出情况</w:t>
      </w:r>
    </w:p>
    <w:p>
      <w:pPr>
        <w:pStyle w:val="11"/>
        <w:widowControl/>
        <w:spacing w:line="640" w:lineRule="exact"/>
        <w:ind w:firstLine="640"/>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岳阳市洞庭湖江豚保护中心2023年度无政府性基金预算支出。</w:t>
      </w:r>
    </w:p>
    <w:p>
      <w:pPr>
        <w:pStyle w:val="11"/>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四、国有资本经营预算支出情况</w:t>
      </w:r>
    </w:p>
    <w:p>
      <w:pPr>
        <w:pStyle w:val="11"/>
        <w:widowControl/>
        <w:spacing w:line="640" w:lineRule="exact"/>
        <w:ind w:firstLine="640"/>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岳阳市洞庭湖江豚保护中心</w:t>
      </w:r>
      <w:r>
        <w:rPr>
          <w:rFonts w:ascii="Times New Roman" w:hAnsi="Times New Roman" w:eastAsia="仿宋_GB2312"/>
          <w:color w:val="000000"/>
          <w:kern w:val="2"/>
          <w:sz w:val="32"/>
          <w:szCs w:val="32"/>
        </w:rPr>
        <w:t>202</w:t>
      </w:r>
      <w:r>
        <w:rPr>
          <w:rFonts w:hint="eastAsia" w:ascii="Times New Roman" w:hAnsi="Times New Roman" w:eastAsia="仿宋_GB2312"/>
          <w:color w:val="000000"/>
          <w:kern w:val="2"/>
          <w:sz w:val="32"/>
          <w:szCs w:val="32"/>
        </w:rPr>
        <w:t>3</w:t>
      </w:r>
      <w:r>
        <w:rPr>
          <w:rFonts w:ascii="Times New Roman" w:hAnsi="Times New Roman" w:eastAsia="仿宋_GB2312"/>
          <w:color w:val="000000"/>
          <w:kern w:val="2"/>
          <w:sz w:val="32"/>
          <w:szCs w:val="32"/>
        </w:rPr>
        <w:t>年度无国有资本经营预算</w:t>
      </w:r>
      <w:r>
        <w:rPr>
          <w:rFonts w:hint="eastAsia" w:ascii="Times New Roman" w:hAnsi="Times New Roman" w:eastAsia="仿宋_GB2312"/>
          <w:color w:val="000000"/>
          <w:kern w:val="2"/>
          <w:sz w:val="32"/>
          <w:szCs w:val="32"/>
        </w:rPr>
        <w:t>支出</w:t>
      </w:r>
      <w:r>
        <w:rPr>
          <w:rFonts w:ascii="Times New Roman" w:hAnsi="Times New Roman" w:eastAsia="仿宋_GB2312"/>
          <w:color w:val="000000"/>
          <w:kern w:val="2"/>
          <w:sz w:val="32"/>
          <w:szCs w:val="32"/>
        </w:rPr>
        <w:t>。</w:t>
      </w:r>
    </w:p>
    <w:p>
      <w:pPr>
        <w:pStyle w:val="11"/>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五、社会保险基金预算支出情况</w:t>
      </w:r>
    </w:p>
    <w:p>
      <w:pPr>
        <w:pStyle w:val="11"/>
        <w:widowControl/>
        <w:spacing w:line="640" w:lineRule="exact"/>
        <w:ind w:firstLine="640"/>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岳阳市洞庭湖江豚保护中心</w:t>
      </w:r>
      <w:r>
        <w:rPr>
          <w:rFonts w:ascii="Times New Roman" w:hAnsi="Times New Roman" w:eastAsia="仿宋_GB2312"/>
          <w:color w:val="000000"/>
          <w:kern w:val="2"/>
          <w:sz w:val="32"/>
          <w:szCs w:val="32"/>
        </w:rPr>
        <w:t>202</w:t>
      </w:r>
      <w:r>
        <w:rPr>
          <w:rFonts w:hint="eastAsia" w:ascii="Times New Roman" w:hAnsi="Times New Roman" w:eastAsia="仿宋_GB2312"/>
          <w:color w:val="000000"/>
          <w:kern w:val="2"/>
          <w:sz w:val="32"/>
          <w:szCs w:val="32"/>
        </w:rPr>
        <w:t>3年度</w:t>
      </w:r>
      <w:r>
        <w:rPr>
          <w:rFonts w:ascii="Times New Roman" w:hAnsi="Times New Roman" w:eastAsia="仿宋_GB2312"/>
          <w:color w:val="000000"/>
          <w:kern w:val="2"/>
          <w:sz w:val="32"/>
          <w:szCs w:val="32"/>
        </w:rPr>
        <w:t>无社会保险基金预算</w:t>
      </w:r>
      <w:r>
        <w:rPr>
          <w:rFonts w:hint="eastAsia" w:ascii="Times New Roman" w:hAnsi="Times New Roman" w:eastAsia="仿宋_GB2312"/>
          <w:color w:val="000000"/>
          <w:kern w:val="2"/>
          <w:sz w:val="32"/>
          <w:szCs w:val="32"/>
        </w:rPr>
        <w:t>支出</w:t>
      </w:r>
      <w:r>
        <w:rPr>
          <w:rFonts w:ascii="Times New Roman" w:hAnsi="Times New Roman" w:eastAsia="仿宋_GB2312"/>
          <w:color w:val="000000"/>
          <w:kern w:val="2"/>
          <w:sz w:val="32"/>
          <w:szCs w:val="32"/>
        </w:rPr>
        <w:t>。</w:t>
      </w:r>
    </w:p>
    <w:p>
      <w:pPr>
        <w:widowControl/>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pPr>
        <w:ind w:firstLine="640"/>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2023年我单位根据年初工作计划，</w:t>
      </w:r>
      <w:r>
        <w:rPr>
          <w:rFonts w:ascii="Times New Roman" w:hAnsi="Times New Roman" w:eastAsia="仿宋_GB2312"/>
          <w:color w:val="000000"/>
          <w:kern w:val="2"/>
          <w:sz w:val="32"/>
          <w:szCs w:val="32"/>
        </w:rPr>
        <w:t>认真履行职责，较好地完成了各项工作任务</w:t>
      </w:r>
      <w:r>
        <w:rPr>
          <w:rFonts w:hint="eastAsia" w:ascii="Times New Roman" w:hAnsi="Times New Roman" w:eastAsia="仿宋_GB2312"/>
          <w:color w:val="000000"/>
          <w:kern w:val="2"/>
          <w:sz w:val="32"/>
          <w:szCs w:val="32"/>
        </w:rPr>
        <w:t>。</w:t>
      </w:r>
      <w:r>
        <w:rPr>
          <w:rFonts w:ascii="Times New Roman" w:hAnsi="Times New Roman" w:eastAsia="仿宋_GB2312"/>
          <w:color w:val="000000"/>
          <w:kern w:val="2"/>
          <w:sz w:val="32"/>
          <w:szCs w:val="32"/>
        </w:rPr>
        <w:t>根据《部门整体支出绩效自评表》自评分</w:t>
      </w:r>
      <w:r>
        <w:rPr>
          <w:rFonts w:hint="eastAsia" w:ascii="Times New Roman" w:hAnsi="Times New Roman" w:eastAsia="仿宋_GB2312"/>
          <w:color w:val="000000"/>
          <w:kern w:val="2"/>
          <w:sz w:val="32"/>
          <w:szCs w:val="32"/>
        </w:rPr>
        <w:t>91.44</w:t>
      </w:r>
      <w:r>
        <w:rPr>
          <w:rFonts w:ascii="Times New Roman" w:hAnsi="Times New Roman" w:eastAsia="仿宋_GB2312"/>
          <w:color w:val="000000"/>
          <w:kern w:val="2"/>
          <w:sz w:val="32"/>
          <w:szCs w:val="32"/>
        </w:rPr>
        <w:t>分（详见附</w:t>
      </w:r>
      <w:r>
        <w:rPr>
          <w:rFonts w:hint="eastAsia" w:ascii="Times New Roman" w:hAnsi="Times New Roman" w:eastAsia="仿宋_GB2312"/>
          <w:color w:val="000000"/>
          <w:kern w:val="2"/>
          <w:sz w:val="32"/>
          <w:szCs w:val="32"/>
        </w:rPr>
        <w:t>表</w:t>
      </w:r>
      <w:r>
        <w:rPr>
          <w:rFonts w:ascii="Times New Roman" w:hAnsi="Times New Roman" w:eastAsia="仿宋_GB2312"/>
          <w:color w:val="000000"/>
          <w:kern w:val="2"/>
          <w:sz w:val="32"/>
          <w:szCs w:val="32"/>
        </w:rPr>
        <w:t>2）。</w:t>
      </w:r>
    </w:p>
    <w:p>
      <w:pPr>
        <w:pStyle w:val="2"/>
        <w:ind w:firstLine="643"/>
      </w:pPr>
      <w:r>
        <w:rPr>
          <w:rFonts w:hint="eastAsia"/>
        </w:rPr>
        <w:t>（一）从</w:t>
      </w:r>
      <w:r>
        <w:t>严控</w:t>
      </w:r>
      <w:r>
        <w:rPr>
          <w:rFonts w:hint="eastAsia"/>
        </w:rPr>
        <w:t>运行成本方面完成情况如下：</w:t>
      </w:r>
    </w:p>
    <w:p>
      <w:pPr>
        <w:ind w:firstLine="640"/>
        <w:rPr>
          <w:rFonts w:ascii="Times New Roman" w:hAnsi="Times New Roman" w:eastAsia="仿宋_GB2312"/>
          <w:color w:val="000000"/>
          <w:kern w:val="2"/>
          <w:sz w:val="32"/>
          <w:szCs w:val="32"/>
        </w:rPr>
      </w:pPr>
      <w:r>
        <w:rPr>
          <w:rFonts w:ascii="Times New Roman" w:hAnsi="Times New Roman" w:eastAsia="仿宋_GB2312"/>
          <w:color w:val="000000"/>
          <w:kern w:val="2"/>
          <w:sz w:val="32"/>
          <w:szCs w:val="32"/>
        </w:rPr>
        <w:t>202</w:t>
      </w:r>
      <w:r>
        <w:rPr>
          <w:rFonts w:hint="eastAsia" w:ascii="Times New Roman" w:hAnsi="Times New Roman" w:eastAsia="仿宋_GB2312"/>
          <w:color w:val="000000"/>
          <w:kern w:val="2"/>
          <w:sz w:val="32"/>
          <w:szCs w:val="32"/>
        </w:rPr>
        <w:t>3年“三公”经费支出0.84万元，其中公务接待费0.84元、公务用车运行维护费0万元、车辆购置费支出0万元、出国经费支出0万元，较年初预算2.6万元节约1.76万元，节约比为67.69</w:t>
      </w:r>
      <w:r>
        <w:rPr>
          <w:rFonts w:ascii="Times New Roman" w:hAnsi="Times New Roman" w:eastAsia="仿宋_GB2312"/>
          <w:color w:val="000000"/>
          <w:kern w:val="2"/>
          <w:sz w:val="32"/>
          <w:szCs w:val="32"/>
        </w:rPr>
        <w:t>%</w:t>
      </w:r>
      <w:r>
        <w:rPr>
          <w:rFonts w:hint="eastAsia" w:ascii="Times New Roman" w:hAnsi="Times New Roman" w:eastAsia="仿宋_GB2312"/>
          <w:color w:val="000000"/>
          <w:kern w:val="2"/>
          <w:sz w:val="32"/>
          <w:szCs w:val="32"/>
        </w:rPr>
        <w:t>，合理控制在预算以内。</w:t>
      </w:r>
    </w:p>
    <w:p>
      <w:pPr>
        <w:pStyle w:val="11"/>
        <w:widowControl/>
        <w:spacing w:line="640" w:lineRule="exact"/>
        <w:ind w:firstLine="643"/>
        <w:rPr>
          <w:rFonts w:eastAsia="楷体_GB2312"/>
          <w:b/>
          <w:szCs w:val="32"/>
        </w:rPr>
      </w:pPr>
      <w:r>
        <w:rPr>
          <w:rFonts w:hint="eastAsia" w:ascii="Times New Roman" w:hAnsi="Times New Roman" w:eastAsia="楷体_GB2312"/>
          <w:b/>
          <w:sz w:val="32"/>
          <w:szCs w:val="32"/>
        </w:rPr>
        <w:t>（</w:t>
      </w:r>
      <w:r>
        <w:rPr>
          <w:rFonts w:hint="eastAsia" w:eastAsia="楷体_GB2312"/>
          <w:b/>
          <w:sz w:val="32"/>
          <w:szCs w:val="32"/>
        </w:rPr>
        <w:t>二</w:t>
      </w:r>
      <w:r>
        <w:rPr>
          <w:rFonts w:hint="eastAsia" w:ascii="Times New Roman" w:hAnsi="Times New Roman" w:eastAsia="楷体_GB2312"/>
          <w:b/>
          <w:sz w:val="32"/>
          <w:szCs w:val="32"/>
        </w:rPr>
        <w:t>）从数量、质量、时效等方面完成情况如下：</w:t>
      </w:r>
    </w:p>
    <w:p>
      <w:pPr>
        <w:ind w:firstLine="640"/>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（1）开展</w:t>
      </w:r>
      <w:r>
        <w:rPr>
          <w:rFonts w:hint="eastAsia" w:ascii="Times New Roman" w:hAnsi="Times New Roman" w:eastAsia="仿宋_GB2312"/>
          <w:color w:val="000000"/>
          <w:kern w:val="2"/>
          <w:sz w:val="32"/>
          <w:szCs w:val="32"/>
          <w:lang w:val="en-US" w:eastAsia="zh-CN"/>
        </w:rPr>
        <w:t>长江江豚科学考察1次，渔业资源监测1次。</w:t>
      </w:r>
      <w:r>
        <w:rPr>
          <w:rFonts w:hint="eastAsia" w:ascii="Times New Roman" w:hAnsi="Times New Roman" w:eastAsia="仿宋_GB2312"/>
          <w:color w:val="000000"/>
          <w:kern w:val="2"/>
          <w:sz w:val="32"/>
          <w:szCs w:val="32"/>
        </w:rPr>
        <w:t>（2）开展资源养护行动，人工增殖放流活动</w:t>
      </w:r>
      <w:r>
        <w:rPr>
          <w:rFonts w:hint="eastAsia" w:ascii="Times New Roman" w:hAnsi="Times New Roman" w:eastAsia="仿宋_GB2312"/>
          <w:color w:val="000000"/>
          <w:kern w:val="2"/>
          <w:sz w:val="32"/>
          <w:szCs w:val="32"/>
          <w:lang w:val="en-US" w:eastAsia="zh-CN"/>
        </w:rPr>
        <w:t>2</w:t>
      </w:r>
      <w:r>
        <w:rPr>
          <w:rFonts w:hint="eastAsia" w:ascii="Times New Roman" w:hAnsi="Times New Roman" w:eastAsia="仿宋_GB2312"/>
          <w:color w:val="000000"/>
          <w:kern w:val="2"/>
          <w:sz w:val="32"/>
          <w:szCs w:val="32"/>
        </w:rPr>
        <w:t>次；（3）开展</w:t>
      </w:r>
      <w:r>
        <w:rPr>
          <w:rFonts w:hint="eastAsia" w:ascii="Times New Roman" w:hAnsi="Times New Roman" w:eastAsia="仿宋_GB2312"/>
          <w:color w:val="000000"/>
          <w:kern w:val="2"/>
          <w:sz w:val="32"/>
          <w:szCs w:val="32"/>
          <w:lang w:val="en-US" w:eastAsia="zh-CN"/>
        </w:rPr>
        <w:t>保护区水生生物巡查、救护</w:t>
      </w:r>
      <w:r>
        <w:rPr>
          <w:rFonts w:hint="eastAsia" w:ascii="Times New Roman" w:hAnsi="Times New Roman" w:eastAsia="仿宋_GB2312"/>
          <w:color w:val="000000"/>
          <w:kern w:val="2"/>
          <w:sz w:val="32"/>
          <w:szCs w:val="32"/>
        </w:rPr>
        <w:t>工作。通过加强保护区巡查，适航条件下对长江江豚主要活动区域坚持每天开展一到两次的巡湖活动</w:t>
      </w:r>
      <w:r>
        <w:rPr>
          <w:rFonts w:hint="eastAsia" w:ascii="Times New Roman" w:hAnsi="Times New Roman" w:eastAsia="仿宋_GB2312"/>
          <w:color w:val="000000"/>
          <w:kern w:val="2"/>
          <w:sz w:val="32"/>
          <w:szCs w:val="32"/>
          <w:lang w:eastAsia="zh-CN"/>
        </w:rPr>
        <w:t>，</w:t>
      </w:r>
      <w:r>
        <w:rPr>
          <w:rFonts w:hint="eastAsia" w:ascii="Times New Roman" w:hAnsi="Times New Roman" w:eastAsia="仿宋_GB2312"/>
          <w:color w:val="000000"/>
          <w:kern w:val="2"/>
          <w:sz w:val="32"/>
          <w:szCs w:val="32"/>
          <w:lang w:val="en-US" w:eastAsia="zh-CN"/>
        </w:rPr>
        <w:t>全年共计开展200余次。</w:t>
      </w:r>
      <w:r>
        <w:rPr>
          <w:rFonts w:hint="eastAsia" w:ascii="Times New Roman" w:hAnsi="Times New Roman" w:eastAsia="仿宋_GB2312"/>
          <w:color w:val="000000"/>
          <w:kern w:val="2"/>
          <w:sz w:val="32"/>
          <w:szCs w:val="32"/>
        </w:rPr>
        <w:t>（4）通过发放宣传资料、悬挂标语横幅、设置广告宣传牌、公布长江江豚保护救护电话，更换宣传牌、印制宣传手册</w:t>
      </w:r>
      <w:r>
        <w:rPr>
          <w:rFonts w:hint="eastAsia" w:ascii="Times New Roman" w:hAnsi="Times New Roman" w:eastAsia="仿宋_GB2312"/>
          <w:color w:val="000000"/>
          <w:kern w:val="2"/>
          <w:sz w:val="32"/>
          <w:szCs w:val="32"/>
          <w:lang w:eastAsia="zh-CN"/>
        </w:rPr>
        <w:t>、</w:t>
      </w:r>
      <w:r>
        <w:rPr>
          <w:rFonts w:hint="eastAsia" w:ascii="Times New Roman" w:hAnsi="Times New Roman" w:eastAsia="仿宋_GB2312"/>
          <w:color w:val="000000"/>
          <w:kern w:val="2"/>
          <w:sz w:val="32"/>
          <w:szCs w:val="32"/>
          <w:lang w:val="en-US" w:eastAsia="zh-CN"/>
        </w:rPr>
        <w:t>发放文创产品江豚徽章</w:t>
      </w:r>
      <w:r>
        <w:rPr>
          <w:rFonts w:hint="eastAsia" w:ascii="Times New Roman" w:hAnsi="Times New Roman" w:eastAsia="仿宋_GB2312"/>
          <w:color w:val="000000"/>
          <w:kern w:val="2"/>
          <w:sz w:val="32"/>
          <w:szCs w:val="32"/>
        </w:rPr>
        <w:t>等方式，广泛宣传水产种质资源保护及长江江豚保护的重要性</w:t>
      </w:r>
      <w:r>
        <w:rPr>
          <w:rFonts w:hint="eastAsia" w:ascii="Times New Roman" w:hAnsi="Times New Roman" w:eastAsia="仿宋_GB2312"/>
          <w:color w:val="000000"/>
          <w:kern w:val="2"/>
          <w:sz w:val="32"/>
          <w:szCs w:val="32"/>
          <w:lang w:eastAsia="zh-CN"/>
        </w:rPr>
        <w:t>，</w:t>
      </w:r>
      <w:r>
        <w:rPr>
          <w:rFonts w:hint="eastAsia" w:ascii="Times New Roman" w:hAnsi="Times New Roman" w:eastAsia="仿宋_GB2312"/>
          <w:color w:val="000000"/>
          <w:kern w:val="2"/>
          <w:sz w:val="32"/>
          <w:szCs w:val="32"/>
          <w:lang w:val="en-US" w:eastAsia="zh-CN"/>
        </w:rPr>
        <w:t>全年共计发放宣传产品3000余份，取得良好宣传效果</w:t>
      </w:r>
      <w:r>
        <w:rPr>
          <w:rFonts w:hint="eastAsia" w:ascii="Times New Roman" w:hAnsi="Times New Roman" w:eastAsia="仿宋_GB2312"/>
          <w:color w:val="000000"/>
          <w:kern w:val="2"/>
          <w:sz w:val="32"/>
          <w:szCs w:val="32"/>
        </w:rPr>
        <w:t>。（6）</w:t>
      </w:r>
      <w:r>
        <w:rPr>
          <w:rFonts w:hint="eastAsia" w:ascii="Times New Roman" w:hAnsi="Times New Roman" w:eastAsia="仿宋_GB2312"/>
          <w:color w:val="000000"/>
          <w:kern w:val="2"/>
          <w:sz w:val="32"/>
          <w:szCs w:val="32"/>
          <w:lang w:val="en-US" w:eastAsia="zh-CN"/>
        </w:rPr>
        <w:t>日常巡查中，加强保护区范围涉渔业项目监管，督促落实生态保护措施和生态补偿资金。</w:t>
      </w:r>
      <w:r>
        <w:rPr>
          <w:rFonts w:hint="eastAsia" w:ascii="Times New Roman" w:hAnsi="Times New Roman" w:eastAsia="仿宋_GB2312"/>
          <w:color w:val="000000"/>
          <w:kern w:val="2"/>
          <w:sz w:val="32"/>
          <w:szCs w:val="32"/>
        </w:rPr>
        <w:t>202</w:t>
      </w:r>
      <w:r>
        <w:rPr>
          <w:rFonts w:hint="eastAsia" w:ascii="Times New Roman" w:hAnsi="Times New Roman" w:eastAsia="仿宋_GB2312"/>
          <w:color w:val="000000"/>
          <w:kern w:val="2"/>
          <w:sz w:val="32"/>
          <w:szCs w:val="32"/>
          <w:lang w:val="en-US" w:eastAsia="zh-CN"/>
        </w:rPr>
        <w:t>3</w:t>
      </w:r>
      <w:r>
        <w:rPr>
          <w:rFonts w:hint="eastAsia" w:ascii="Times New Roman" w:hAnsi="Times New Roman" w:eastAsia="仿宋_GB2312"/>
          <w:color w:val="000000"/>
          <w:kern w:val="2"/>
          <w:sz w:val="32"/>
          <w:szCs w:val="32"/>
        </w:rPr>
        <w:t>年，落实生态补偿资金</w:t>
      </w:r>
      <w:r>
        <w:rPr>
          <w:rFonts w:hint="eastAsia" w:ascii="Times New Roman" w:hAnsi="Times New Roman" w:eastAsia="仿宋_GB2312"/>
          <w:color w:val="000000"/>
          <w:kern w:val="2"/>
          <w:sz w:val="32"/>
          <w:szCs w:val="32"/>
          <w:lang w:val="en-US" w:eastAsia="zh-CN"/>
        </w:rPr>
        <w:t>60</w:t>
      </w:r>
      <w:r>
        <w:rPr>
          <w:rFonts w:hint="eastAsia" w:ascii="Times New Roman" w:hAnsi="Times New Roman" w:eastAsia="仿宋_GB2312"/>
          <w:color w:val="000000"/>
          <w:kern w:val="2"/>
          <w:sz w:val="32"/>
          <w:szCs w:val="32"/>
        </w:rPr>
        <w:t>万元。</w:t>
      </w:r>
    </w:p>
    <w:p>
      <w:pPr>
        <w:pStyle w:val="11"/>
        <w:widowControl/>
        <w:spacing w:line="640" w:lineRule="exact"/>
        <w:ind w:firstLine="643"/>
        <w:rPr>
          <w:rFonts w:eastAsia="楷体_GB2312"/>
          <w:b/>
          <w:szCs w:val="32"/>
        </w:rPr>
      </w:pPr>
      <w:r>
        <w:rPr>
          <w:rFonts w:hint="eastAsia" w:ascii="Times New Roman" w:hAnsi="Times New Roman" w:eastAsia="楷体_GB2312"/>
          <w:b/>
          <w:sz w:val="32"/>
          <w:szCs w:val="32"/>
        </w:rPr>
        <w:t>（</w:t>
      </w:r>
      <w:r>
        <w:rPr>
          <w:rFonts w:hint="eastAsia" w:eastAsia="楷体_GB2312"/>
          <w:b/>
          <w:sz w:val="32"/>
          <w:szCs w:val="32"/>
        </w:rPr>
        <w:t>三</w:t>
      </w:r>
      <w:r>
        <w:rPr>
          <w:rFonts w:hint="eastAsia" w:ascii="Times New Roman" w:hAnsi="Times New Roman" w:eastAsia="楷体_GB2312"/>
          <w:b/>
          <w:sz w:val="32"/>
          <w:szCs w:val="32"/>
        </w:rPr>
        <w:t>）从社会效益、生态效益等方面完成情况如下：</w:t>
      </w:r>
    </w:p>
    <w:p>
      <w:pPr>
        <w:ind w:firstLine="640"/>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（1）提高了社会群众对水产种质资源及长江江豚等水生生物的保护意识和参与度。</w:t>
      </w:r>
    </w:p>
    <w:p>
      <w:pPr>
        <w:ind w:firstLine="640"/>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（2）参与相关部门的多次联合专项行动，努力改善长江江豚等濒危水生生物的栖息环境，促进生态环境可持续发展。根据长江江豚科学考察数据，江豚种群数量呈现向好趋势。</w:t>
      </w:r>
    </w:p>
    <w:p>
      <w:pPr>
        <w:ind w:firstLine="640"/>
        <w:rPr>
          <w:rFonts w:ascii="Times New Roman" w:hAnsi="Times New Roman" w:eastAsia="仿宋_GB2312"/>
          <w:color w:val="000000"/>
          <w:kern w:val="2"/>
          <w:sz w:val="32"/>
          <w:szCs w:val="32"/>
        </w:rPr>
      </w:pPr>
      <w:r>
        <w:rPr>
          <w:rFonts w:hint="eastAsia" w:ascii="Times New Roman" w:hAnsi="Times New Roman" w:eastAsia="仿宋_GB2312"/>
          <w:color w:val="000000"/>
          <w:kern w:val="2"/>
          <w:sz w:val="32"/>
          <w:szCs w:val="32"/>
        </w:rPr>
        <w:t>（3）通过发放宣传手册、宣传单及宣传牌，加强了与媒体的合作等水生生物保护宣传方式，特别是主动邀请媒体进行多次正面宣传报道，引导社会舆论，未造成社会负面影响，群众满意度较好。</w:t>
      </w:r>
    </w:p>
    <w:p>
      <w:pPr>
        <w:pStyle w:val="11"/>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七、存在的问题及原因分析</w:t>
      </w:r>
    </w:p>
    <w:p>
      <w:pPr>
        <w:pStyle w:val="6"/>
        <w:shd w:val="clear" w:color="auto" w:fill="FFFFFF"/>
        <w:spacing w:before="0" w:beforeAutospacing="0" w:after="0" w:afterAutospacing="0" w:line="640" w:lineRule="exact"/>
        <w:ind w:firstLine="640" w:firstLineChars="200"/>
        <w:jc w:val="both"/>
        <w:rPr>
          <w:rFonts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rPr>
        <w:t>（一）财务人员素质有待进一步提高。由于预算绩效管理工作涉及面广，专业性强，加上缺乏系统的培训，对预算绩效管理业务不精通，从而影响绩效评价工作质量。</w:t>
      </w:r>
    </w:p>
    <w:p>
      <w:pPr>
        <w:pStyle w:val="6"/>
        <w:shd w:val="clear" w:color="auto" w:fill="FFFFFF"/>
        <w:spacing w:before="0" w:beforeAutospacing="0" w:after="0" w:afterAutospacing="0" w:line="640" w:lineRule="exact"/>
        <w:ind w:firstLine="640" w:firstLineChars="200"/>
        <w:jc w:val="both"/>
        <w:rPr>
          <w:rFonts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rPr>
        <w:t>（二）渔业专业技能及数据分析有待进一步加强。</w:t>
      </w:r>
    </w:p>
    <w:p>
      <w:pPr>
        <w:widowControl/>
        <w:spacing w:line="640" w:lineRule="exact"/>
        <w:ind w:firstLine="640" w:firstLineChars="200"/>
        <w:rPr>
          <w:rFonts w:hint="eastAsia" w:ascii="Times New Roman" w:hAnsi="Times New Roman" w:eastAsia="黑体"/>
          <w:sz w:val="32"/>
          <w:szCs w:val="32"/>
        </w:rPr>
      </w:pPr>
      <w:r>
        <w:rPr>
          <w:rFonts w:ascii="Times New Roman" w:hAnsi="Times New Roman" w:eastAsia="黑体"/>
          <w:sz w:val="32"/>
          <w:szCs w:val="32"/>
        </w:rPr>
        <w:t>八、下一步改进措施</w:t>
      </w:r>
    </w:p>
    <w:p>
      <w:pPr>
        <w:pStyle w:val="6"/>
        <w:shd w:val="clear" w:color="auto" w:fill="FFFFFF"/>
        <w:spacing w:before="0" w:beforeAutospacing="0" w:after="0" w:afterAutospacing="0" w:line="640" w:lineRule="exact"/>
        <w:ind w:firstLine="640" w:firstLineChars="200"/>
        <w:jc w:val="both"/>
        <w:rPr>
          <w:rFonts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rPr>
        <w:t>（一）加强财务管理工作，财务人员要不断学习，提高业务能力。</w:t>
      </w:r>
      <w:r>
        <w:rPr>
          <w:rFonts w:ascii="Times New Roman" w:hAnsi="Times New Roman" w:eastAsia="仿宋_GB2312" w:cs="Times New Roman"/>
          <w:color w:val="000000"/>
          <w:kern w:val="2"/>
          <w:sz w:val="32"/>
          <w:szCs w:val="32"/>
        </w:rPr>
        <w:t> </w:t>
      </w:r>
    </w:p>
    <w:p>
      <w:pPr>
        <w:pStyle w:val="6"/>
        <w:shd w:val="clear" w:color="auto" w:fill="FFFFFF"/>
        <w:spacing w:before="0" w:beforeAutospacing="0" w:after="0" w:afterAutospacing="0" w:line="640" w:lineRule="exact"/>
        <w:ind w:firstLine="640" w:firstLineChars="200"/>
        <w:jc w:val="both"/>
        <w:rPr>
          <w:rFonts w:ascii="Times New Roman" w:hAnsi="Times New Roman" w:eastAsia="黑体"/>
          <w:sz w:val="32"/>
          <w:szCs w:val="32"/>
        </w:rPr>
      </w:pPr>
      <w:r>
        <w:rPr>
          <w:rFonts w:hint="eastAsia" w:ascii="Times New Roman" w:hAnsi="Times New Roman" w:eastAsia="仿宋_GB2312" w:cs="Times New Roman"/>
          <w:color w:val="000000"/>
          <w:kern w:val="2"/>
          <w:sz w:val="32"/>
          <w:szCs w:val="32"/>
        </w:rPr>
        <w:t>（二）加大学习、培训力度，提升工作人员的专业技术水平及数据分析能力。</w:t>
      </w:r>
    </w:p>
    <w:p>
      <w:pPr>
        <w:widowControl/>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九、部门整体支出绩效自评结果拟应用和公开情况</w:t>
      </w:r>
    </w:p>
    <w:p>
      <w:pPr>
        <w:ind w:firstLine="640"/>
        <w:rPr>
          <w:rFonts w:ascii="Times New Roman" w:hAnsi="Times New Roman" w:eastAsia="仿宋_GB2312"/>
          <w:color w:val="000000"/>
          <w:kern w:val="2"/>
          <w:sz w:val="32"/>
          <w:szCs w:val="32"/>
        </w:rPr>
      </w:pPr>
      <w:r>
        <w:rPr>
          <w:rFonts w:ascii="Times New Roman" w:hAnsi="Times New Roman" w:eastAsia="仿宋_GB2312"/>
          <w:color w:val="000000"/>
          <w:kern w:val="2"/>
          <w:sz w:val="32"/>
          <w:szCs w:val="32"/>
        </w:rPr>
        <w:t>一是落实绩效评价结果公开公示制度，将绩效评价报告上网公开，接受社会监督。二是加强绩效自评结果的应用，将评价中发现的管理薄弱环节向各项目主管部门、实施单位进行反馈，要求逐一研究对策、落实整改责任并督促项目实施主体整改到位，绩效评价结果将作为以后年度专项资金分配的重要依据。</w:t>
      </w:r>
    </w:p>
    <w:p>
      <w:pPr>
        <w:spacing w:line="360" w:lineRule="auto"/>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9886344"/>
    <w:rsid w:val="0002371C"/>
    <w:rsid w:val="0003023E"/>
    <w:rsid w:val="00041F7A"/>
    <w:rsid w:val="000C2597"/>
    <w:rsid w:val="00112F65"/>
    <w:rsid w:val="0015355F"/>
    <w:rsid w:val="0018728A"/>
    <w:rsid w:val="00193A68"/>
    <w:rsid w:val="001A120E"/>
    <w:rsid w:val="001A1B6D"/>
    <w:rsid w:val="001B7028"/>
    <w:rsid w:val="00223F6B"/>
    <w:rsid w:val="00252CE3"/>
    <w:rsid w:val="00296D2A"/>
    <w:rsid w:val="002F3871"/>
    <w:rsid w:val="00313287"/>
    <w:rsid w:val="00316560"/>
    <w:rsid w:val="00330FEF"/>
    <w:rsid w:val="00392BAE"/>
    <w:rsid w:val="003930FD"/>
    <w:rsid w:val="003A5EFD"/>
    <w:rsid w:val="003B1F67"/>
    <w:rsid w:val="003E0BE6"/>
    <w:rsid w:val="00424195"/>
    <w:rsid w:val="0045215A"/>
    <w:rsid w:val="004732E6"/>
    <w:rsid w:val="00497A79"/>
    <w:rsid w:val="004D7F5B"/>
    <w:rsid w:val="005128FE"/>
    <w:rsid w:val="00523D77"/>
    <w:rsid w:val="00585923"/>
    <w:rsid w:val="005C50C4"/>
    <w:rsid w:val="005D6635"/>
    <w:rsid w:val="005F3485"/>
    <w:rsid w:val="006548AC"/>
    <w:rsid w:val="006747AB"/>
    <w:rsid w:val="0068304D"/>
    <w:rsid w:val="0069353C"/>
    <w:rsid w:val="006D0795"/>
    <w:rsid w:val="007172D2"/>
    <w:rsid w:val="00754D42"/>
    <w:rsid w:val="007972E1"/>
    <w:rsid w:val="00815EC9"/>
    <w:rsid w:val="00850764"/>
    <w:rsid w:val="00873F41"/>
    <w:rsid w:val="00894647"/>
    <w:rsid w:val="008B5330"/>
    <w:rsid w:val="008C06F0"/>
    <w:rsid w:val="008D6347"/>
    <w:rsid w:val="009213B3"/>
    <w:rsid w:val="009423FD"/>
    <w:rsid w:val="009433EB"/>
    <w:rsid w:val="00962CA1"/>
    <w:rsid w:val="00976DF7"/>
    <w:rsid w:val="009D7402"/>
    <w:rsid w:val="009F5E94"/>
    <w:rsid w:val="009F7A0F"/>
    <w:rsid w:val="00A11AF8"/>
    <w:rsid w:val="00A13CBD"/>
    <w:rsid w:val="00A50213"/>
    <w:rsid w:val="00A778A1"/>
    <w:rsid w:val="00AA56D8"/>
    <w:rsid w:val="00AF0DE2"/>
    <w:rsid w:val="00B35E8E"/>
    <w:rsid w:val="00B70D09"/>
    <w:rsid w:val="00B87AFF"/>
    <w:rsid w:val="00B93BD8"/>
    <w:rsid w:val="00BB281B"/>
    <w:rsid w:val="00BC169B"/>
    <w:rsid w:val="00C33732"/>
    <w:rsid w:val="00C550F4"/>
    <w:rsid w:val="00C61E60"/>
    <w:rsid w:val="00C96895"/>
    <w:rsid w:val="00C973B6"/>
    <w:rsid w:val="00CE17ED"/>
    <w:rsid w:val="00CE2A17"/>
    <w:rsid w:val="00D05EC7"/>
    <w:rsid w:val="00D3151B"/>
    <w:rsid w:val="00D4283A"/>
    <w:rsid w:val="00D60127"/>
    <w:rsid w:val="00D95323"/>
    <w:rsid w:val="00DE2F86"/>
    <w:rsid w:val="00E06995"/>
    <w:rsid w:val="00E30417"/>
    <w:rsid w:val="00E33FEB"/>
    <w:rsid w:val="00E616E6"/>
    <w:rsid w:val="00E965C4"/>
    <w:rsid w:val="00EB6669"/>
    <w:rsid w:val="00F01B7C"/>
    <w:rsid w:val="00F2124B"/>
    <w:rsid w:val="00F55E86"/>
    <w:rsid w:val="00F77368"/>
    <w:rsid w:val="00F8234B"/>
    <w:rsid w:val="00FB4DAA"/>
    <w:rsid w:val="00FC5C1D"/>
    <w:rsid w:val="00FD7F06"/>
    <w:rsid w:val="00FF5DD5"/>
    <w:rsid w:val="0513547F"/>
    <w:rsid w:val="11CC776A"/>
    <w:rsid w:val="14B14BA2"/>
    <w:rsid w:val="1CA34506"/>
    <w:rsid w:val="1FE85104"/>
    <w:rsid w:val="2D000ADB"/>
    <w:rsid w:val="3A266FC2"/>
    <w:rsid w:val="40C9028D"/>
    <w:rsid w:val="48D361FF"/>
    <w:rsid w:val="4BC45EEF"/>
    <w:rsid w:val="4D0A274E"/>
    <w:rsid w:val="514717B4"/>
    <w:rsid w:val="59886344"/>
    <w:rsid w:val="5C673280"/>
    <w:rsid w:val="6C0D60B6"/>
    <w:rsid w:val="74EE75F9"/>
    <w:rsid w:val="DFEF88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sz w:val="28"/>
      <w:szCs w:val="24"/>
      <w:lang w:val="en-US" w:eastAsia="zh-CN" w:bidi="ar-SA"/>
    </w:rPr>
  </w:style>
  <w:style w:type="paragraph" w:styleId="2">
    <w:name w:val="heading 3"/>
    <w:basedOn w:val="1"/>
    <w:next w:val="1"/>
    <w:link w:val="14"/>
    <w:qFormat/>
    <w:uiPriority w:val="0"/>
    <w:pPr>
      <w:adjustRightInd w:val="0"/>
      <w:snapToGrid w:val="0"/>
      <w:spacing w:line="579" w:lineRule="atLeast"/>
      <w:ind w:firstLine="200" w:firstLineChars="200"/>
      <w:outlineLvl w:val="2"/>
    </w:pPr>
    <w:rPr>
      <w:rFonts w:ascii="Times New Roman" w:hAnsi="Times New Roman" w:eastAsia="楷体_GB2312"/>
      <w:b/>
      <w:bCs/>
      <w:kern w:val="2"/>
      <w:sz w:val="32"/>
      <w:szCs w:val="32"/>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eastAsia="仿宋" w:cs="仿宋"/>
      <w:sz w:val="31"/>
      <w:szCs w:val="31"/>
      <w:lang w:eastAsia="en-US"/>
    </w:rPr>
  </w:style>
  <w:style w:type="paragraph" w:styleId="4">
    <w:name w:val="footer"/>
    <w:basedOn w:val="1"/>
    <w:link w:val="13"/>
    <w:uiPriority w:val="0"/>
    <w:pPr>
      <w:tabs>
        <w:tab w:val="center" w:pos="4153"/>
        <w:tab w:val="right" w:pos="8306"/>
      </w:tabs>
      <w:snapToGrid w:val="0"/>
      <w:jc w:val="left"/>
    </w:pPr>
    <w:rPr>
      <w:sz w:val="18"/>
      <w:szCs w:val="18"/>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sz w:val="24"/>
    </w:rPr>
  </w:style>
  <w:style w:type="table" w:styleId="8">
    <w:name w:val="Table Grid"/>
    <w:basedOn w:val="7"/>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列出段落1"/>
    <w:basedOn w:val="1"/>
    <w:qFormat/>
    <w:uiPriority w:val="34"/>
    <w:pPr>
      <w:ind w:firstLine="420" w:firstLineChars="200"/>
    </w:pPr>
  </w:style>
  <w:style w:type="paragraph" w:styleId="11">
    <w:name w:val="List Paragraph"/>
    <w:basedOn w:val="1"/>
    <w:qFormat/>
    <w:uiPriority w:val="99"/>
    <w:pPr>
      <w:ind w:firstLine="420" w:firstLineChars="200"/>
    </w:pPr>
    <w:rPr>
      <w:rFonts w:ascii="Calibri" w:hAnsi="Calibri"/>
      <w:szCs w:val="22"/>
    </w:rPr>
  </w:style>
  <w:style w:type="character" w:customStyle="1" w:styleId="12">
    <w:name w:val="页眉 Char"/>
    <w:basedOn w:val="9"/>
    <w:link w:val="5"/>
    <w:uiPriority w:val="0"/>
    <w:rPr>
      <w:rFonts w:ascii="仿宋" w:hAnsi="仿宋" w:eastAsia="宋体" w:cs="Times New Roman"/>
      <w:sz w:val="18"/>
      <w:szCs w:val="18"/>
    </w:rPr>
  </w:style>
  <w:style w:type="character" w:customStyle="1" w:styleId="13">
    <w:name w:val="页脚 Char"/>
    <w:basedOn w:val="9"/>
    <w:link w:val="4"/>
    <w:uiPriority w:val="0"/>
    <w:rPr>
      <w:rFonts w:ascii="仿宋" w:hAnsi="仿宋" w:eastAsia="宋体" w:cs="Times New Roman"/>
      <w:sz w:val="18"/>
      <w:szCs w:val="18"/>
    </w:rPr>
  </w:style>
  <w:style w:type="character" w:customStyle="1" w:styleId="14">
    <w:name w:val="标题 3 Char"/>
    <w:basedOn w:val="9"/>
    <w:link w:val="2"/>
    <w:qFormat/>
    <w:uiPriority w:val="0"/>
    <w:rPr>
      <w:rFonts w:ascii="Times New Roman" w:hAnsi="Times New Roman" w:eastAsia="楷体_GB2312" w:cs="Times New Roman"/>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281</Words>
  <Characters>1602</Characters>
  <Lines>13</Lines>
  <Paragraphs>3</Paragraphs>
  <TotalTime>50</TotalTime>
  <ScaleCrop>false</ScaleCrop>
  <LinksUpToDate>false</LinksUpToDate>
  <CharactersWithSpaces>1880</CharactersWithSpaces>
  <Application>WPS Office_11.8.6.11021_F1E327BC-269C-435d-A152-05C5408002CA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Administrator</cp:lastModifiedBy>
  <dcterms:modified xsi:type="dcterms:W3CDTF">2024-06-25T02:57:53Z</dcterms:modified>
  <cp:revision>169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6182D3A10D564617983F46DEE354AEAF</vt:lpwstr>
  </property>
</Properties>
</file>