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EBE06">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14:paraId="3847D23D">
      <w:pPr>
        <w:jc w:val="center"/>
        <w:rPr>
          <w:rFonts w:hint="eastAsia" w:ascii="仿宋_GB2312" w:hAnsi="仿宋_GB2312" w:eastAsia="仿宋_GB2312" w:cs="仿宋_GB2312"/>
          <w:sz w:val="28"/>
          <w:szCs w:val="28"/>
        </w:rPr>
      </w:pPr>
    </w:p>
    <w:p w14:paraId="59A6A870">
      <w:pPr>
        <w:jc w:val="center"/>
        <w:rPr>
          <w:rFonts w:hint="eastAsia" w:ascii="仿宋_GB2312" w:hAnsi="仿宋_GB2312" w:eastAsia="仿宋_GB2312" w:cs="仿宋_GB2312"/>
          <w:sz w:val="44"/>
          <w:szCs w:val="44"/>
          <w:lang w:val="en-US" w:eastAsia="zh-CN"/>
        </w:rPr>
      </w:pPr>
      <w:r>
        <w:rPr>
          <w:rFonts w:hint="eastAsia" w:ascii="仿宋_GB2312" w:hAnsi="仿宋_GB2312" w:eastAsia="仿宋_GB2312" w:cs="仿宋_GB2312"/>
          <w:sz w:val="44"/>
          <w:szCs w:val="44"/>
        </w:rPr>
        <w:t>202</w:t>
      </w:r>
      <w:r>
        <w:rPr>
          <w:rFonts w:hint="eastAsia" w:ascii="仿宋_GB2312" w:hAnsi="仿宋_GB2312" w:eastAsia="仿宋_GB2312" w:cs="仿宋_GB2312"/>
          <w:sz w:val="44"/>
          <w:szCs w:val="44"/>
          <w:lang w:val="en-US" w:eastAsia="zh-CN"/>
        </w:rPr>
        <w:t>5</w:t>
      </w:r>
      <w:r>
        <w:rPr>
          <w:rFonts w:hint="eastAsia" w:ascii="仿宋_GB2312" w:hAnsi="仿宋_GB2312" w:eastAsia="仿宋_GB2312" w:cs="仿宋_GB2312"/>
          <w:sz w:val="44"/>
          <w:szCs w:val="44"/>
        </w:rPr>
        <w:t>年度</w:t>
      </w:r>
      <w:r>
        <w:rPr>
          <w:rFonts w:hint="eastAsia" w:ascii="仿宋_GB2312" w:hAnsi="仿宋_GB2312" w:eastAsia="仿宋_GB2312" w:cs="仿宋_GB2312"/>
          <w:sz w:val="44"/>
          <w:szCs w:val="44"/>
          <w:lang w:val="en-US" w:eastAsia="zh-CN"/>
        </w:rPr>
        <w:t>岳阳市农业农村事务中心</w:t>
      </w:r>
    </w:p>
    <w:p w14:paraId="4A6FBC70">
      <w:pPr>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整体支出绩效自评报告</w:t>
      </w:r>
    </w:p>
    <w:p w14:paraId="638CC1D6">
      <w:pPr>
        <w:jc w:val="center"/>
        <w:rPr>
          <w:rFonts w:hint="eastAsia" w:ascii="仿宋_GB2312" w:hAnsi="仿宋_GB2312" w:eastAsia="仿宋_GB2312" w:cs="仿宋_GB2312"/>
          <w:b/>
          <w:sz w:val="28"/>
          <w:szCs w:val="28"/>
        </w:rPr>
      </w:pPr>
    </w:p>
    <w:p w14:paraId="1F9D08E3">
      <w:pPr>
        <w:jc w:val="center"/>
        <w:rPr>
          <w:rFonts w:hint="eastAsia" w:ascii="仿宋_GB2312" w:hAnsi="仿宋_GB2312" w:eastAsia="仿宋_GB2312" w:cs="仿宋_GB2312"/>
          <w:b/>
          <w:sz w:val="28"/>
          <w:szCs w:val="28"/>
        </w:rPr>
      </w:pPr>
    </w:p>
    <w:p w14:paraId="1DB64D5E">
      <w:pPr>
        <w:jc w:val="both"/>
        <w:rPr>
          <w:rFonts w:hint="eastAsia" w:ascii="仿宋_GB2312" w:hAnsi="仿宋_GB2312" w:eastAsia="仿宋_GB2312" w:cs="仿宋_GB2312"/>
          <w:b/>
          <w:sz w:val="28"/>
          <w:szCs w:val="28"/>
        </w:rPr>
      </w:pPr>
    </w:p>
    <w:p w14:paraId="7A3A64EE">
      <w:pPr>
        <w:jc w:val="center"/>
        <w:rPr>
          <w:rFonts w:hint="eastAsia" w:ascii="仿宋_GB2312" w:hAnsi="仿宋_GB2312" w:eastAsia="仿宋_GB2312" w:cs="仿宋_GB2312"/>
          <w:b/>
          <w:sz w:val="28"/>
          <w:szCs w:val="28"/>
        </w:rPr>
      </w:pPr>
    </w:p>
    <w:p w14:paraId="2F2D7484">
      <w:pPr>
        <w:jc w:val="center"/>
        <w:rPr>
          <w:rFonts w:hint="eastAsia" w:ascii="仿宋_GB2312" w:hAnsi="仿宋_GB2312" w:eastAsia="仿宋_GB2312" w:cs="仿宋_GB2312"/>
          <w:b/>
          <w:sz w:val="28"/>
          <w:szCs w:val="28"/>
        </w:rPr>
      </w:pPr>
    </w:p>
    <w:p w14:paraId="6DA00D9F">
      <w:pPr>
        <w:jc w:val="center"/>
        <w:rPr>
          <w:rFonts w:hint="eastAsia" w:ascii="仿宋_GB2312" w:hAnsi="仿宋_GB2312" w:eastAsia="仿宋_GB2312" w:cs="仿宋_GB2312"/>
          <w:sz w:val="28"/>
          <w:szCs w:val="28"/>
        </w:rPr>
      </w:pPr>
    </w:p>
    <w:p w14:paraId="6B0B327B">
      <w:pPr>
        <w:jc w:val="center"/>
        <w:rPr>
          <w:rFonts w:hint="eastAsia" w:ascii="仿宋_GB2312" w:hAnsi="仿宋_GB2312" w:eastAsia="仿宋_GB2312" w:cs="仿宋_GB2312"/>
          <w:sz w:val="28"/>
          <w:szCs w:val="28"/>
        </w:rPr>
      </w:pPr>
    </w:p>
    <w:p w14:paraId="6C9D908F">
      <w:pPr>
        <w:jc w:val="center"/>
        <w:rPr>
          <w:rFonts w:hint="eastAsia" w:ascii="仿宋_GB2312" w:hAnsi="仿宋_GB2312" w:eastAsia="仿宋_GB2312" w:cs="仿宋_GB2312"/>
          <w:sz w:val="28"/>
          <w:szCs w:val="28"/>
        </w:rPr>
      </w:pPr>
    </w:p>
    <w:p w14:paraId="2A272ACC">
      <w:pPr>
        <w:jc w:val="center"/>
        <w:rPr>
          <w:rFonts w:hint="eastAsia" w:ascii="仿宋_GB2312" w:hAnsi="仿宋_GB2312" w:eastAsia="仿宋_GB2312" w:cs="仿宋_GB2312"/>
          <w:sz w:val="28"/>
          <w:szCs w:val="28"/>
        </w:rPr>
      </w:pPr>
    </w:p>
    <w:p w14:paraId="51319F3E">
      <w:pPr>
        <w:jc w:val="center"/>
        <w:rPr>
          <w:rFonts w:hint="eastAsia" w:ascii="仿宋_GB2312" w:hAnsi="仿宋_GB2312" w:eastAsia="仿宋_GB2312" w:cs="仿宋_GB2312"/>
          <w:sz w:val="28"/>
          <w:szCs w:val="28"/>
        </w:rPr>
      </w:pPr>
    </w:p>
    <w:p w14:paraId="0C6F555F">
      <w:pPr>
        <w:jc w:val="center"/>
        <w:rPr>
          <w:rFonts w:hint="eastAsia" w:ascii="仿宋_GB2312" w:hAnsi="仿宋_GB2312" w:eastAsia="仿宋_GB2312" w:cs="仿宋_GB2312"/>
          <w:sz w:val="28"/>
          <w:szCs w:val="28"/>
        </w:rPr>
      </w:pPr>
    </w:p>
    <w:p w14:paraId="51560A2B">
      <w:pPr>
        <w:jc w:val="center"/>
        <w:rPr>
          <w:rFonts w:hint="eastAsia" w:ascii="仿宋_GB2312" w:hAnsi="仿宋_GB2312" w:eastAsia="仿宋_GB2312" w:cs="仿宋_GB2312"/>
          <w:sz w:val="28"/>
          <w:szCs w:val="28"/>
        </w:rPr>
      </w:pPr>
    </w:p>
    <w:p w14:paraId="241FBC58">
      <w:pPr>
        <w:jc w:val="center"/>
        <w:rPr>
          <w:rFonts w:hint="eastAsia" w:ascii="仿宋_GB2312" w:hAnsi="仿宋_GB2312" w:eastAsia="仿宋_GB2312" w:cs="仿宋_GB2312"/>
          <w:sz w:val="28"/>
          <w:szCs w:val="28"/>
        </w:rPr>
      </w:pPr>
    </w:p>
    <w:p w14:paraId="60974B74">
      <w:pPr>
        <w:jc w:val="center"/>
        <w:rPr>
          <w:rFonts w:hint="eastAsia" w:ascii="仿宋_GB2312" w:hAnsi="仿宋_GB2312" w:eastAsia="仿宋_GB2312" w:cs="仿宋_GB2312"/>
          <w:sz w:val="28"/>
          <w:szCs w:val="28"/>
        </w:rPr>
      </w:pPr>
    </w:p>
    <w:p w14:paraId="241048AC">
      <w:pPr>
        <w:jc w:val="center"/>
        <w:rPr>
          <w:rFonts w:hint="eastAsia" w:ascii="仿宋_GB2312" w:hAnsi="仿宋_GB2312" w:eastAsia="仿宋_GB2312" w:cs="仿宋_GB2312"/>
          <w:sz w:val="28"/>
          <w:szCs w:val="28"/>
        </w:rPr>
      </w:pPr>
    </w:p>
    <w:p w14:paraId="109983BD">
      <w:pPr>
        <w:spacing w:line="6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部门（单位）名称：</w:t>
      </w:r>
      <w:r>
        <w:rPr>
          <w:rFonts w:hint="eastAsia" w:ascii="仿宋_GB2312" w:hAnsi="仿宋_GB2312" w:eastAsia="仿宋_GB2312" w:cs="仿宋_GB2312"/>
          <w:sz w:val="28"/>
          <w:szCs w:val="28"/>
          <w:u w:val="single"/>
        </w:rPr>
        <w:t>（盖章）</w:t>
      </w:r>
    </w:p>
    <w:p w14:paraId="3D28817B">
      <w:pPr>
        <w:spacing w:before="156" w:beforeLines="50" w:after="156" w:afterLines="50" w:line="560" w:lineRule="exact"/>
        <w:ind w:left="1566" w:hanging="840" w:hangingChars="300"/>
        <w:jc w:val="center"/>
        <w:rPr>
          <w:rFonts w:hint="eastAsia" w:ascii="宋体" w:hAnsi="宋体" w:eastAsia="宋体" w:cs="Times New Roman"/>
          <w:b/>
          <w:bCs/>
          <w:kern w:val="2"/>
          <w:sz w:val="52"/>
          <w:szCs w:val="44"/>
          <w:lang w:val="zh-CN"/>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仿宋_GB2312" w:hAnsi="仿宋_GB2312" w:eastAsia="仿宋_GB2312" w:cs="仿宋_GB2312"/>
          <w:sz w:val="28"/>
          <w:szCs w:val="28"/>
          <w:lang w:val="en-US" w:eastAsia="zh-CN"/>
        </w:rPr>
        <w:t>2025</w:t>
      </w:r>
      <w:bookmarkStart w:id="2" w:name="_GoBack"/>
      <w:bookmarkEnd w:id="2"/>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rPr>
        <w:br w:type="page"/>
      </w:r>
    </w:p>
    <w:p w14:paraId="07CB42CB">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eastAsia" w:ascii="宋体" w:hAnsi="宋体" w:eastAsia="宋体" w:cs="Times New Roman"/>
          <w:b/>
          <w:bCs/>
          <w:kern w:val="2"/>
          <w:sz w:val="52"/>
          <w:szCs w:val="44"/>
          <w:lang w:val="zh-CN"/>
        </w:rPr>
        <w:t>2025</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整体支出绩效自评报告</w:t>
      </w:r>
    </w:p>
    <w:p w14:paraId="0DEF870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一、部门（单位）基本情况</w:t>
      </w:r>
    </w:p>
    <w:p w14:paraId="6D378905">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zh-CN" w:eastAsia="zh-CN" w:bidi="ar-SA"/>
        </w:rPr>
        <w:t>市农业农村事务中心是由市农业农村局管理的公益一类副处级机构，</w:t>
      </w:r>
      <w:r>
        <w:rPr>
          <w:rFonts w:hint="eastAsia" w:ascii="Times New Roman" w:hAnsi="Times New Roman" w:eastAsia="仿宋_GB2312" w:cs="Times New Roman"/>
          <w:color w:val="000000"/>
          <w:sz w:val="32"/>
          <w:szCs w:val="32"/>
          <w:highlight w:val="none"/>
          <w:lang w:val="en-US" w:eastAsia="zh-CN" w:bidi="ar-SA"/>
        </w:rPr>
        <w:t>2025年年末</w:t>
      </w:r>
      <w:r>
        <w:rPr>
          <w:rFonts w:hint="eastAsia" w:ascii="Times New Roman" w:hAnsi="Times New Roman" w:eastAsia="仿宋_GB2312" w:cs="Times New Roman"/>
          <w:color w:val="000000"/>
          <w:sz w:val="32"/>
          <w:szCs w:val="32"/>
          <w:highlight w:val="none"/>
          <w:lang w:val="zh-CN" w:eastAsia="zh-CN" w:bidi="ar-SA"/>
        </w:rPr>
        <w:t>编制50个，在职人数47人，退休人数24人。主要职责为：一是为机关提供支持保障的职能。主要参与拟订农业产业发展规划相关事务性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二是面向社会提供公益服务的职能。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14:paraId="3E51E915">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zh-CN" w:eastAsia="zh-CN" w:bidi="ar-SA"/>
        </w:rPr>
        <w:t>岳阳市农业农村事务中心（市农业广播电视学校）内设</w:t>
      </w:r>
      <w:r>
        <w:rPr>
          <w:rFonts w:hint="eastAsia" w:ascii="Times New Roman" w:hAnsi="Times New Roman" w:eastAsia="仿宋_GB2312" w:cs="Times New Roman"/>
          <w:color w:val="000000"/>
          <w:sz w:val="32"/>
          <w:szCs w:val="32"/>
          <w:highlight w:val="none"/>
          <w:lang w:val="en-US" w:eastAsia="zh-CN" w:bidi="ar-SA"/>
        </w:rPr>
        <w:t>6个内设</w:t>
      </w:r>
      <w:r>
        <w:rPr>
          <w:rFonts w:hint="eastAsia" w:ascii="Times New Roman" w:hAnsi="Times New Roman" w:eastAsia="仿宋_GB2312" w:cs="Times New Roman"/>
          <w:color w:val="000000"/>
          <w:sz w:val="32"/>
          <w:szCs w:val="32"/>
          <w:highlight w:val="none"/>
          <w:lang w:val="zh-CN" w:eastAsia="zh-CN" w:bidi="ar-SA"/>
        </w:rPr>
        <w:t>机构</w:t>
      </w:r>
      <w:r>
        <w:rPr>
          <w:rFonts w:hint="eastAsia" w:ascii="Times New Roman" w:hAnsi="Times New Roman" w:eastAsia="仿宋_GB2312" w:cs="Times New Roman"/>
          <w:color w:val="000000"/>
          <w:sz w:val="32"/>
          <w:szCs w:val="32"/>
          <w:highlight w:val="none"/>
          <w:lang w:val="en-US" w:eastAsia="zh-CN" w:bidi="ar-SA"/>
        </w:rPr>
        <w:t>1个分支机构</w:t>
      </w:r>
      <w:r>
        <w:rPr>
          <w:rFonts w:hint="eastAsia" w:ascii="Times New Roman" w:hAnsi="Times New Roman" w:eastAsia="仿宋_GB2312" w:cs="Times New Roman"/>
          <w:color w:val="000000"/>
          <w:sz w:val="32"/>
          <w:szCs w:val="32"/>
          <w:highlight w:val="none"/>
          <w:lang w:val="zh-CN" w:eastAsia="zh-CN" w:bidi="ar-SA"/>
        </w:rPr>
        <w:t>。五</w:t>
      </w:r>
      <w:r>
        <w:rPr>
          <w:rFonts w:hint="eastAsia" w:ascii="Times New Roman" w:hAnsi="Times New Roman" w:eastAsia="仿宋_GB2312" w:cs="Times New Roman"/>
          <w:color w:val="000000"/>
          <w:sz w:val="32"/>
          <w:szCs w:val="32"/>
          <w:highlight w:val="none"/>
          <w:lang w:val="en-US" w:eastAsia="zh-CN" w:bidi="ar-SA"/>
        </w:rPr>
        <w:t>个内设</w:t>
      </w:r>
      <w:r>
        <w:rPr>
          <w:rFonts w:hint="eastAsia" w:ascii="Times New Roman" w:hAnsi="Times New Roman" w:eastAsia="仿宋_GB2312" w:cs="Times New Roman"/>
          <w:color w:val="000000"/>
          <w:sz w:val="32"/>
          <w:szCs w:val="32"/>
          <w:highlight w:val="none"/>
          <w:lang w:val="zh-CN" w:eastAsia="zh-CN" w:bidi="ar-SA"/>
        </w:rPr>
        <w:t>机构(一)综合部。负责中心日常运转，承担文电、会务、安全、保密、人事、宣传、信访、财务、档案、政务公开管理等工作。(二)种植业事务部。承担种植业新技术、新品种和新模式引进、试验与示范推广的事务性工作；承担种植业项目组织实施的事务性工作；承担绿色食品、有机农产品和地理标志农产品认证、品牌推广的事务性工作；承担农产品质量安全追溯平台和湖南省农产品“身份证”管理平台的日常管理工作。(三)畜牧水产事务部。承担畜禽、水产新品种、新技术和新模式的引进、试验与示范推广工作，承担养殖业产业发展项目组织实施的事务性工作；承担养殖业结构调整、产业规划与布局、标准化生产、规模化养殖、畜禽粪污资源化利用的事务性工作；承担水生动物疫病、渔业环境等监测工作；协助开展养殖业生产监测、种畜禽生产性能测定的事务性工作。(四)农机事务部。承担农机新机具、新技术和新模式的引进、试验与示范推广等相关事务性工作；承担农机化发展项目组织实施的事务性工作；承担农机社会化服务、农机产品质量调查等事务性工作。</w:t>
      </w:r>
      <w:bookmarkStart w:id="0" w:name="OLE_LINK2"/>
      <w:r>
        <w:rPr>
          <w:rFonts w:hint="eastAsia" w:ascii="Times New Roman" w:hAnsi="Times New Roman" w:eastAsia="仿宋_GB2312" w:cs="Times New Roman"/>
          <w:color w:val="000000"/>
          <w:sz w:val="32"/>
          <w:szCs w:val="32"/>
          <w:highlight w:val="none"/>
          <w:lang w:val="zh-CN" w:eastAsia="zh-CN" w:bidi="ar-SA"/>
        </w:rPr>
        <w:t>(五)植保土肥事务部。</w:t>
      </w:r>
      <w:bookmarkEnd w:id="0"/>
      <w:bookmarkStart w:id="1" w:name="OLE_LINK3"/>
      <w:r>
        <w:rPr>
          <w:rFonts w:hint="eastAsia" w:ascii="Times New Roman" w:hAnsi="Times New Roman" w:eastAsia="仿宋_GB2312" w:cs="Times New Roman"/>
          <w:color w:val="000000"/>
          <w:sz w:val="32"/>
          <w:szCs w:val="32"/>
          <w:highlight w:val="none"/>
          <w:lang w:val="zh-CN" w:eastAsia="zh-CN" w:bidi="ar-SA"/>
        </w:rPr>
        <w:t>承担耕地质量、地力监测及土壤肥力长期定位监测工作</w:t>
      </w:r>
      <w:bookmarkEnd w:id="1"/>
      <w:r>
        <w:rPr>
          <w:rFonts w:hint="eastAsia" w:ascii="Times New Roman" w:hAnsi="Times New Roman" w:eastAsia="仿宋_GB2312" w:cs="Times New Roman"/>
          <w:color w:val="000000"/>
          <w:sz w:val="32"/>
          <w:szCs w:val="32"/>
          <w:highlight w:val="none"/>
          <w:lang w:val="zh-CN" w:eastAsia="zh-CN" w:bidi="ar-SA"/>
        </w:rPr>
        <w:t>；承担农业面源污染普查工作；承担测土配方施肥等农业环境相关的抽样、制样、检测、评价工作；承担野生植物保护与外来物种(植物)监测、专业性病虫测报体系建设、农作物病虫草鼠害防治、农药包装废弃物回收处置、耕地质量监测网络建设、退化耕地治理的技术支撑工作。(</w:t>
      </w:r>
      <w:r>
        <w:rPr>
          <w:rFonts w:hint="eastAsia" w:ascii="Times New Roman" w:hAnsi="Times New Roman" w:eastAsia="仿宋_GB2312" w:cs="Times New Roman"/>
          <w:color w:val="000000"/>
          <w:sz w:val="32"/>
          <w:szCs w:val="32"/>
          <w:highlight w:val="none"/>
          <w:lang w:val="en-US" w:eastAsia="zh-CN" w:bidi="ar-SA"/>
        </w:rPr>
        <w:t>六</w:t>
      </w:r>
      <w:r>
        <w:rPr>
          <w:rFonts w:hint="eastAsia" w:ascii="Times New Roman" w:hAnsi="Times New Roman" w:eastAsia="仿宋_GB2312" w:cs="Times New Roman"/>
          <w:color w:val="000000"/>
          <w:sz w:val="32"/>
          <w:szCs w:val="32"/>
          <w:highlight w:val="none"/>
          <w:lang w:val="zh-CN" w:eastAsia="zh-CN" w:bidi="ar-SA"/>
        </w:rPr>
        <w:t>)</w:t>
      </w:r>
      <w:r>
        <w:rPr>
          <w:rFonts w:hint="eastAsia" w:ascii="Times New Roman" w:hAnsi="Times New Roman" w:eastAsia="仿宋_GB2312" w:cs="Times New Roman"/>
          <w:color w:val="000000"/>
          <w:sz w:val="32"/>
          <w:szCs w:val="32"/>
          <w:highlight w:val="none"/>
          <w:lang w:val="en-US" w:eastAsia="zh-CN" w:bidi="ar-SA"/>
        </w:rPr>
        <w:t>乡村振兴事务</w:t>
      </w:r>
      <w:r>
        <w:rPr>
          <w:rFonts w:hint="eastAsia" w:ascii="Times New Roman" w:hAnsi="Times New Roman" w:eastAsia="仿宋_GB2312" w:cs="Times New Roman"/>
          <w:color w:val="000000"/>
          <w:sz w:val="32"/>
          <w:szCs w:val="32"/>
          <w:highlight w:val="none"/>
          <w:lang w:val="zh-CN" w:eastAsia="zh-CN" w:bidi="ar-SA"/>
        </w:rPr>
        <w:t>部。承担</w:t>
      </w:r>
      <w:r>
        <w:rPr>
          <w:rFonts w:hint="eastAsia" w:ascii="Times New Roman" w:hAnsi="Times New Roman" w:eastAsia="仿宋_GB2312" w:cs="Times New Roman"/>
          <w:color w:val="000000"/>
          <w:sz w:val="32"/>
          <w:szCs w:val="32"/>
          <w:highlight w:val="none"/>
          <w:lang w:val="en-US" w:eastAsia="zh-CN" w:bidi="ar-SA"/>
        </w:rPr>
        <w:t>局机关交代和移办的与乡村振兴相关的业务</w:t>
      </w:r>
      <w:r>
        <w:rPr>
          <w:rFonts w:hint="eastAsia" w:ascii="Times New Roman" w:hAnsi="Times New Roman" w:eastAsia="仿宋_GB2312" w:cs="Times New Roman"/>
          <w:color w:val="000000"/>
          <w:sz w:val="32"/>
          <w:szCs w:val="32"/>
          <w:highlight w:val="none"/>
          <w:lang w:val="zh-CN" w:eastAsia="zh-CN" w:bidi="ar-SA"/>
        </w:rPr>
        <w:t>。（</w:t>
      </w:r>
      <w:r>
        <w:rPr>
          <w:rFonts w:hint="eastAsia" w:ascii="Times New Roman" w:hAnsi="Times New Roman" w:eastAsia="仿宋_GB2312" w:cs="Times New Roman"/>
          <w:color w:val="000000"/>
          <w:sz w:val="32"/>
          <w:szCs w:val="32"/>
          <w:highlight w:val="none"/>
          <w:lang w:val="en-US" w:eastAsia="zh-CN" w:bidi="ar-SA"/>
        </w:rPr>
        <w:t>七</w:t>
      </w:r>
      <w:r>
        <w:rPr>
          <w:rFonts w:hint="eastAsia" w:ascii="Times New Roman" w:hAnsi="Times New Roman" w:eastAsia="仿宋_GB2312" w:cs="Times New Roman"/>
          <w:color w:val="000000"/>
          <w:sz w:val="32"/>
          <w:szCs w:val="32"/>
          <w:highlight w:val="none"/>
          <w:lang w:val="zh-CN" w:eastAsia="zh-CN" w:bidi="ar-SA"/>
        </w:rPr>
        <w:t>）设1个分支机构市农业教育培训工作站。承担涉农的业务培训、产业培训和技术培训项目并组织实施的事务性工作；承担农民职业技能鉴定、农业声像宣传和管理的事务性工作；承担组织农民体育赛事活动。</w:t>
      </w:r>
    </w:p>
    <w:p w14:paraId="0D6D4E41">
      <w:pPr>
        <w:pStyle w:val="18"/>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3E16C471">
      <w:pPr>
        <w:pStyle w:val="18"/>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5C58971F">
      <w:pPr>
        <w:pStyle w:val="18"/>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2"/>
          <w:sz w:val="32"/>
          <w:szCs w:val="32"/>
          <w:highlight w:val="none"/>
          <w:lang w:val="zh-CN" w:eastAsia="zh-CN" w:bidi="ar-SA"/>
        </w:rPr>
      </w:pPr>
      <w:r>
        <w:rPr>
          <w:rFonts w:hint="eastAsia" w:ascii="Times New Roman" w:hAnsi="Times New Roman" w:eastAsia="仿宋_GB2312" w:cs="Times New Roman"/>
          <w:b w:val="0"/>
          <w:bCs w:val="0"/>
          <w:color w:val="000000"/>
          <w:kern w:val="2"/>
          <w:sz w:val="32"/>
          <w:szCs w:val="32"/>
          <w:highlight w:val="none"/>
          <w:lang w:val="en-US" w:eastAsia="zh-CN" w:bidi="ar-SA"/>
        </w:rPr>
        <w:t>2025</w:t>
      </w:r>
      <w:r>
        <w:rPr>
          <w:rFonts w:hint="eastAsia" w:ascii="Times New Roman" w:hAnsi="Times New Roman" w:eastAsia="仿宋_GB2312" w:cs="Times New Roman"/>
          <w:color w:val="000000"/>
          <w:kern w:val="2"/>
          <w:sz w:val="32"/>
          <w:szCs w:val="32"/>
          <w:highlight w:val="none"/>
          <w:lang w:val="en-US" w:eastAsia="zh-CN" w:bidi="ar-SA"/>
        </w:rPr>
        <w:t>年基本支出数为1031.00万元（含人员经费944.59万元，公用经费86.42万元），其中：工资福利支出84.10万元，商品和服务支出33.92万元，对个人和家庭的补助10.36万元。</w:t>
      </w:r>
    </w:p>
    <w:p w14:paraId="395A0F3D">
      <w:pPr>
        <w:pStyle w:val="18"/>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（二）项目支出情况</w:t>
      </w:r>
    </w:p>
    <w:p w14:paraId="48C929FE">
      <w:pPr>
        <w:pStyle w:val="18"/>
        <w:keepNext w:val="0"/>
        <w:keepLines w:val="0"/>
        <w:pageBreakBefore w:val="0"/>
        <w:widowControl/>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default" w:ascii="Times New Roman" w:hAnsi="Times New Roman" w:eastAsia="楷体_GB2312" w:cs="Times New Roman"/>
          <w:b/>
          <w:sz w:val="32"/>
          <w:szCs w:val="32"/>
          <w:highlight w:val="none"/>
        </w:rPr>
      </w:pPr>
      <w:r>
        <w:rPr>
          <w:rFonts w:hint="eastAsia" w:ascii="仿宋_GB2312" w:hAnsi="仿宋_GB2312" w:eastAsia="仿宋_GB2312" w:cs="仿宋_GB2312"/>
          <w:b w:val="0"/>
          <w:bCs w:val="0"/>
          <w:kern w:val="0"/>
          <w:sz w:val="28"/>
          <w:szCs w:val="28"/>
          <w:highlight w:val="none"/>
          <w:lang w:val="en-US" w:eastAsia="zh-CN" w:bidi="ar-SA"/>
        </w:rPr>
        <w:t>2</w:t>
      </w:r>
      <w:r>
        <w:rPr>
          <w:rFonts w:hint="eastAsia" w:ascii="Times New Roman" w:hAnsi="Times New Roman" w:eastAsia="仿宋_GB2312" w:cs="Times New Roman"/>
          <w:b w:val="0"/>
          <w:bCs w:val="0"/>
          <w:color w:val="000000"/>
          <w:kern w:val="2"/>
          <w:sz w:val="32"/>
          <w:szCs w:val="32"/>
          <w:highlight w:val="none"/>
          <w:lang w:val="en-US" w:eastAsia="zh-CN" w:bidi="ar-SA"/>
        </w:rPr>
        <w:t>025项目支出数262.74万元，其中商品和服务支出252.74万元，对企业的补助10.00万元。</w:t>
      </w:r>
    </w:p>
    <w:p w14:paraId="448E6E62">
      <w:pPr>
        <w:pStyle w:val="18"/>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007A0371">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en-US" w:eastAsia="zh-CN" w:bidi="ar-SA"/>
        </w:rPr>
        <w:t>2025年无国有资本经营预算</w:t>
      </w:r>
    </w:p>
    <w:p w14:paraId="1AE01C8B">
      <w:pPr>
        <w:pStyle w:val="18"/>
        <w:keepNext w:val="0"/>
        <w:keepLines w:val="0"/>
        <w:pageBreakBefore w:val="0"/>
        <w:widowControl w:val="0"/>
        <w:numPr>
          <w:ilvl w:val="0"/>
          <w:numId w:val="1"/>
        </w:numPr>
        <w:kinsoku/>
        <w:wordWrap/>
        <w:overflowPunct/>
        <w:topLinePunct w:val="0"/>
        <w:autoSpaceDE/>
        <w:autoSpaceDN/>
        <w:bidi w:val="0"/>
        <w:adjustRightInd/>
        <w:snapToGrid/>
        <w:spacing w:line="640" w:lineRule="exact"/>
        <w:ind w:left="-10" w:leftChars="0" w:firstLine="640" w:firstLineChars="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14:paraId="19B4CE7E">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sz w:val="32"/>
          <w:szCs w:val="32"/>
          <w:highlight w:val="none"/>
          <w:lang w:val="en-US" w:eastAsia="zh-CN" w:bidi="ar-SA"/>
        </w:rPr>
        <w:t>2025年无国有资本经营预算</w:t>
      </w:r>
    </w:p>
    <w:p w14:paraId="17CC4D6E">
      <w:pPr>
        <w:pStyle w:val="18"/>
        <w:keepNext w:val="0"/>
        <w:keepLines w:val="0"/>
        <w:pageBreakBefore w:val="0"/>
        <w:widowControl w:val="0"/>
        <w:numPr>
          <w:ilvl w:val="0"/>
          <w:numId w:val="1"/>
        </w:numPr>
        <w:kinsoku/>
        <w:wordWrap/>
        <w:overflowPunct/>
        <w:topLinePunct w:val="0"/>
        <w:autoSpaceDE/>
        <w:autoSpaceDN/>
        <w:bidi w:val="0"/>
        <w:adjustRightInd/>
        <w:snapToGrid/>
        <w:spacing w:line="640" w:lineRule="exact"/>
        <w:ind w:left="-10" w:leftChars="0" w:firstLine="640" w:firstLineChars="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5D36B240">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sz w:val="32"/>
          <w:szCs w:val="32"/>
          <w:highlight w:val="none"/>
          <w:lang w:val="en-US" w:eastAsia="zh-CN" w:bidi="ar-SA"/>
        </w:rPr>
        <w:t>2025年无国有资本经营预算</w:t>
      </w:r>
    </w:p>
    <w:p w14:paraId="227985E4">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10" w:leftChars="0" w:firstLine="640" w:firstLineChars="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部门整体支出绩效情况</w:t>
      </w:r>
    </w:p>
    <w:p w14:paraId="1FDE632F">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en-US" w:eastAsia="zh-CN" w:bidi="ar-SA"/>
        </w:rPr>
        <w:t>202</w:t>
      </w:r>
      <w:r>
        <w:rPr>
          <w:rFonts w:hint="eastAsia" w:eastAsia="仿宋_GB2312" w:cs="Times New Roman"/>
          <w:color w:val="000000"/>
          <w:sz w:val="32"/>
          <w:szCs w:val="32"/>
          <w:highlight w:val="none"/>
          <w:lang w:val="en-US" w:eastAsia="zh-CN" w:bidi="ar-SA"/>
        </w:rPr>
        <w:t>5</w:t>
      </w:r>
      <w:r>
        <w:rPr>
          <w:rFonts w:hint="eastAsia" w:ascii="Times New Roman" w:hAnsi="Times New Roman" w:eastAsia="仿宋_GB2312" w:cs="Times New Roman"/>
          <w:color w:val="000000"/>
          <w:sz w:val="32"/>
          <w:szCs w:val="32"/>
          <w:highlight w:val="none"/>
          <w:lang w:val="en-US" w:eastAsia="zh-CN" w:bidi="ar-SA"/>
        </w:rPr>
        <w:t>年，我局根据中央、省、市重点任务目标，年度工作计划等要求，认真履行职责，较好完成了年初确定的各项工作任务。根据《部门整体支出绩效自评表》自评分9</w:t>
      </w:r>
      <w:r>
        <w:rPr>
          <w:rFonts w:hint="eastAsia" w:eastAsia="仿宋_GB2312" w:cs="Times New Roman"/>
          <w:color w:val="000000"/>
          <w:sz w:val="32"/>
          <w:szCs w:val="32"/>
          <w:highlight w:val="none"/>
          <w:lang w:val="en-US" w:eastAsia="zh-CN" w:bidi="ar-SA"/>
        </w:rPr>
        <w:t>6.758</w:t>
      </w:r>
      <w:r>
        <w:rPr>
          <w:rFonts w:hint="eastAsia" w:ascii="Times New Roman" w:hAnsi="Times New Roman" w:eastAsia="仿宋_GB2312" w:cs="Times New Roman"/>
          <w:color w:val="000000"/>
          <w:sz w:val="32"/>
          <w:szCs w:val="32"/>
          <w:highlight w:val="none"/>
          <w:lang w:val="en-US" w:eastAsia="zh-CN" w:bidi="ar-SA"/>
        </w:rPr>
        <w:t>分，部门整体支出绩效为“优”。</w:t>
      </w:r>
    </w:p>
    <w:p w14:paraId="655791C0">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zh-CN" w:eastAsia="zh-CN" w:bidi="ar-SA"/>
        </w:rPr>
        <w:t>一、抓好组织建设，充分发挥党建引领作用。1）加强制度建设，打造攻坚克难党委；坚持把习近平新时代中国特色社会主义思想学习作为首要政治任务，同时作为中心党委和班子会议的“第一议题”。共组织集中学习25次，开展中央八项规定精神专题学习研讨6次，坚持“三会一课”、双述双评、民主评议党员、党员教育管理、党费收缴管理等基本制度落实落细，研究制定《岳阳市农业农村事务中心关于深入贯彻中央八项规定精神学习教育工作方案》等一系列方案，并组织实施。2）强化责任担当，全面落实从严治党；全面贯彻落实党风廉政建设责任制，落实党内民主生活会制度和党内监督制度，把党风廉政建设与党建工作、业务工作同部署、同落实、同考核。开展“清廉中心”建设，组织全体党员观看党风廉政建设警示片和红色教育影片，开展反腐警示教育，筑牢拒腐思想防线，狠抓党性党风党纪教育。3）抓好阵地建设，营造良好工作氛围；加强阵地建设功能与布局，以创新活动为载体，开展好“一月一片一课一实践”主题党日活动、党建知识竞赛、党委委员和支部书记讲党课、“清风相伴、廉洁同行”微党课、志愿者服务和慰问等系列党组织活动。</w:t>
      </w:r>
    </w:p>
    <w:p w14:paraId="3FFD8C07">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zh-CN" w:eastAsia="zh-CN" w:bidi="ar-SA"/>
        </w:rPr>
        <w:t>二、强化自身建设，切实提升履职服务能力。</w:t>
      </w:r>
      <w:r>
        <w:rPr>
          <w:rFonts w:hint="eastAsia" w:ascii="Times New Roman" w:hAnsi="Times New Roman" w:eastAsia="仿宋_GB2312" w:cs="Times New Roman"/>
          <w:color w:val="000000"/>
          <w:sz w:val="32"/>
          <w:szCs w:val="32"/>
          <w:highlight w:val="none"/>
          <w:lang w:val="en-US" w:eastAsia="zh-CN" w:bidi="ar-SA"/>
        </w:rPr>
        <w:t>1）</w:t>
      </w:r>
      <w:r>
        <w:rPr>
          <w:rFonts w:hint="eastAsia" w:ascii="Times New Roman" w:hAnsi="Times New Roman" w:eastAsia="仿宋_GB2312" w:cs="Times New Roman"/>
          <w:color w:val="000000"/>
          <w:sz w:val="32"/>
          <w:szCs w:val="32"/>
          <w:highlight w:val="none"/>
          <w:lang w:val="zh-CN" w:eastAsia="zh-CN" w:bidi="ar-SA"/>
        </w:rPr>
        <w:t>岳阳市水生动物疫病防控区域中心顺利完成验收，并申报环境检测领域CMA认证，项目建成后将承担水生动物疫病监测和渔业水域环境检测任务。</w:t>
      </w:r>
    </w:p>
    <w:p w14:paraId="2695083B">
      <w:pPr>
        <w:keepNext w:val="0"/>
        <w:keepLines w:val="0"/>
        <w:pageBreakBefore w:val="0"/>
        <w:widowControl w:val="0"/>
        <w:kinsoku/>
        <w:wordWrap/>
        <w:overflowPunct/>
        <w:topLinePunct w:val="0"/>
        <w:autoSpaceDE/>
        <w:autoSpaceDN/>
        <w:bidi w:val="0"/>
        <w:adjustRightInd/>
        <w:snapToGrid/>
        <w:spacing w:beforeLines="-2147483648" w:afterLines="-2147483648"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zh-CN" w:eastAsia="zh-CN" w:bidi="ar-SA"/>
        </w:rPr>
      </w:pPr>
      <w:r>
        <w:rPr>
          <w:rFonts w:hint="eastAsia" w:ascii="Times New Roman" w:hAnsi="Times New Roman" w:eastAsia="仿宋_GB2312" w:cs="Times New Roman"/>
          <w:color w:val="000000"/>
          <w:sz w:val="32"/>
          <w:szCs w:val="32"/>
          <w:highlight w:val="none"/>
          <w:lang w:val="zh-CN" w:eastAsia="zh-CN" w:bidi="ar-SA"/>
        </w:rPr>
        <w:t>三、践行使命担当，全面推进各项业务工作。</w:t>
      </w:r>
      <w:r>
        <w:rPr>
          <w:rFonts w:hint="eastAsia" w:ascii="Times New Roman" w:hAnsi="Times New Roman" w:eastAsia="仿宋_GB2312" w:cs="Times New Roman"/>
          <w:color w:val="000000"/>
          <w:sz w:val="32"/>
          <w:szCs w:val="32"/>
          <w:highlight w:val="none"/>
          <w:lang w:val="en-US" w:eastAsia="zh-CN" w:bidi="ar-SA"/>
        </w:rPr>
        <w:t>1</w:t>
      </w:r>
      <w:r>
        <w:rPr>
          <w:rFonts w:hint="eastAsia" w:ascii="Times New Roman" w:hAnsi="Times New Roman" w:eastAsia="仿宋_GB2312" w:cs="Times New Roman"/>
          <w:color w:val="000000"/>
          <w:sz w:val="32"/>
          <w:szCs w:val="32"/>
          <w:highlight w:val="none"/>
          <w:lang w:val="zh-CN" w:eastAsia="zh-CN" w:bidi="ar-SA"/>
        </w:rPr>
        <w:t>）突出“保底线”，全力服务三农底线工作；1.齐抓共管，推进粮食安全生产；一是抓好春耕备耕。指导全市开展农机“3.15”活动，做好农机春耕备耕服务指导，配合省中心召开全省早中稻机插机抛育秧技术培训班，召开2025年病虫发生趋势分析暨二化螟防控工作研讨会。二是抓好技术指导。成立6个岳阳市早稻集中育秧技术服务指导组，深入联点县市区对春耕备耕、早稻集中育秧开展指导，掌握早稻集中育秧面积落实情况和镉低积累水稻品种推广进展情况（完成全市的省定目标任务234.6万亩、市定目标任务235万亩）。发布《岳阳市春耕备耕情况报告》八期，指导农户积极应对。联合开展早稻旱情专项调研，组建专项工作组赴临湘市聂市镇、坦渡镇和五里牌街道等旱情突出区域，系统梳理旱情成因与影响，形成针对性调研报告。三是抓好病虫防控。精准实施监测预警。全省油菜病虫害综合防控现场观摩培训会在我市召开，举办了岳阳市2025年主要农作物重大病虫防控暨科学用药培训班。及时召开病虫趋势专家会商,今年全市共发布《病虫情报》90期（其中市本级发布《病虫情报》6期），科学指导病虫防控，2025年我市主要农作物病虫害防治面积4396.413万亩次，共挽回损失54.42万吨，主要农作物重大病虫害防治处置率在95%以上，主要粮食作物病虫危害总体损失率在2%以内。大力推广绿色防控。全面开展绿色防控技术集成试验示范，建设水稻病虫害综合绿色防控示范推广基地及二化螟、稻田杂草专项绿色防控示范区，开展草地贪夜蛾等玉米重大病虫害绿色防控示范、油菜菌核病防控新药剂试验示范，同时加强绿色防控及物化技术宣传培训，助推绿色防控市场化。2025年全市主要农作物绿色防控覆盖率达57.34%，较2024年54.82%提高2.52个百分点。其中水稻、油菜等作物覆盖率均超57%，形成“生态调控+理化诱控+生物防治”的绿色技术模式。全面推进统防统治。按照两个“四位一体”新思路，重点建设一批专业化统防统治标准化区域服务站。2025年，全市统防统治服务组织207家，相比去年增加12个。主要粮食作物统防统治服务面积2281.64万亩次、统防统治覆盖率达到54.34%。同比上年2221.34万亩次、53.18%，提高60.3万亩次、1.16%。2.因地制宜，深入推进科学施肥；（1）持续巩固测土配方施肥成果。全市采集与检测分析主要农作物土壤、植株样品1161个，开展农户施肥调查1273个、田间试验44个，测土配方施肥技术推广面积1067.43万亩，主要农作物测土配方施肥技术覆盖率稳定在95%以上，水稻化肥利用率达43.2%。（2）大力推广化肥减量增效技术。全市组织举办科学施肥、绿肥种植、酸化耕地治理等技术培训班27期，培训农民、农技人员近2000人次，发放宣传资料7.4万份。遴选推荐临湘市为全省“三新”集成示范项目县，全市共创建了“三新”集成示范4个万亩核心示范片、13个千亩核心示范方。今年共推广绿肥种植42万余亩，新创建市级水肥一体化示范基地一个。（3）有力开展肥料登记管理工作。强化肥料登记管理，配合省站开展肥料生产企业生产条件现场考核4个。抽取样品15批次，全部合格；抽取绿色种养循环农业试点县粪肥样品6批次，有3批次样品不合格，已督促完成整改。3.尽职尽责，全面抓好农药管理。（1）加强农药抽查检查，强化农药日常监管。分两次对4各县市区12家农药经营门店抽取30批次样品，抽检合格率96.67%，对抽检不合格的农药移交当地。今年妥善有效处置了2起农药药害事件、2起农药抗性事件，1起农药残留事件和1起生态环保事件。（2）优化农药经营许可，强化农药业务培训。严格按照《农药经营许可管理办法》做好农药经营许可办理工作，并督促县市区提升农药经营门店电子台账规范率，12月份召开全市农药科学用药培训会。（3）压实农药包装回收，强化农药日常监管。我市已建立农药包装废弃物回收点2944个，农药包装废弃物归集储存站60个。多个县市区创建了回收示范区，和有处理资质的单位签订合同集中处置农药包装废弃物。2025年度，我市共回收农药包装废弃物279.73吨，其中玻璃瓶33.98吨，塑料瓶184.87吨，铝箔袋60.88吨，回收率达85.83%；共处置农药包装废弃物279.22吨，其中焚烧发电数量135.39吨，填埋118.96吨，各县市区的回收率均达到85%以上。4.积极配合，完成市局交办相关工作，完成品种试验考察，配合做好水产品重点品监测工作。</w:t>
      </w:r>
      <w:r>
        <w:rPr>
          <w:rFonts w:hint="eastAsia" w:ascii="Times New Roman" w:hAnsi="Times New Roman" w:eastAsia="仿宋_GB2312" w:cs="Times New Roman"/>
          <w:color w:val="000000"/>
          <w:sz w:val="32"/>
          <w:szCs w:val="32"/>
          <w:highlight w:val="none"/>
          <w:lang w:val="en-US" w:eastAsia="zh-CN" w:bidi="ar-SA"/>
        </w:rPr>
        <w:t>2</w:t>
      </w:r>
      <w:r>
        <w:rPr>
          <w:rFonts w:hint="eastAsia" w:ascii="Times New Roman" w:hAnsi="Times New Roman" w:eastAsia="仿宋_GB2312" w:cs="Times New Roman"/>
          <w:color w:val="000000"/>
          <w:sz w:val="32"/>
          <w:szCs w:val="32"/>
          <w:highlight w:val="none"/>
          <w:lang w:val="zh-CN" w:eastAsia="zh-CN" w:bidi="ar-SA"/>
        </w:rPr>
        <w:t>）突出“抓重点”，努力服务三农产业发展；印发《关于发布2025年度水稻主导品种和主推技术的通知》，遴选、发布2025年岳阳市水稻主导品种28个(早5、中11、晚15，其中低镉2+1+3)、主推技术7项，落实主推技术推广应用，确保主推技术到位率达95%以上，顺利完成年底粮安考核指标任务。创建油菜大豆轮作绿色高产栽培、蔬菜绿色高效种植、晚稻绿色高产高效栽培、黄精种质资源选育和保护等示范点4个；有序推进市县共建项目湘阴县水稻育秧大棚综合利用示范。指导“一季稻+油菜优质品种丰产性展示基地”和“双季稻优质品种丰产性展示基地”建设。通过技术集成示范，推广减肥减药绿色生产方式，实现化肥农药减量增效，提升农业生产经济效益，探索出一套可复制的生产技术。推进绿色农产品认证监管。截止目前，我市绿色、有机、地理标志农产品总认证有效数441个，其中绿色食品394个，有机食品32个，地理标志农产品15个。新认证和续展产品全面入驻国家农产品质量安全追溯管理信息平台和省农产品“身份证”管理平台，做到覆盖率100%。加强属地认证产品监督管理及企业年检工作，下发《关于开展2025年绿色食品和农产品地理标志认证登记产品专项检查的通知》，组织全市绿色食品颁证后跟踪检查，对岳阳临湘市、君山区、华容县、汩罗市、湘阴县共25家企业进行现场跟踪检查。有序推进省绿色优质农产品生产基地创建，指导君山区、临湘市等县市区成功申报18个品类省绿色优质农产品生产基地。完成2025年（岳阳楼区、屈原管理区、云溪区）新认证（含续展）绿色有机地理标志农产品和岳阳市绿色食品示范基地的认证补贴工作。带领临湘市桃林佬等大豆相关企业（酱油豆干等二产）参加第二十三届中国绿色食品博览会；组织绿色食品企业参加第二十六届中国中部（湖南）农业博览会；在2025年全国粮油和大豆产业博览会中，承办“岳阳大豆产业集群”展馆建设。推进项目建设，做好“洞庭大豆”品牌建设。在湘北大豆主产区临湘市、华容县、君山区，各创建1个“洞庭大豆”绿色优质标准化示范基地,指导基地种植高蛋白大豆，每亩增收超200元，指导示范基地开展技术交流和现场观摩3次，组织150余人参与学习，有效辐射带动周边县市区大豆种植生产技术普及与产业发展。截止目前，已完成“洞庭大豆”品牌标志设计，注册商标和版权保护已申报，完成了一次湖南“洞庭大豆”品牌建设科普乡村行宣传活动；在项目建设过程中制作了2个科普视频和1个宣传推介视频。</w:t>
      </w:r>
      <w:r>
        <w:rPr>
          <w:rFonts w:hint="eastAsia" w:ascii="Times New Roman" w:hAnsi="Times New Roman" w:eastAsia="仿宋_GB2312" w:cs="Times New Roman"/>
          <w:color w:val="000000"/>
          <w:sz w:val="32"/>
          <w:szCs w:val="32"/>
          <w:highlight w:val="none"/>
          <w:lang w:val="en-US" w:eastAsia="zh-CN" w:bidi="ar-SA"/>
        </w:rPr>
        <w:t>3</w:t>
      </w:r>
      <w:r>
        <w:rPr>
          <w:rFonts w:hint="eastAsia" w:ascii="Times New Roman" w:hAnsi="Times New Roman" w:eastAsia="仿宋_GB2312" w:cs="Times New Roman"/>
          <w:color w:val="000000"/>
          <w:sz w:val="32"/>
          <w:szCs w:val="32"/>
          <w:highlight w:val="none"/>
          <w:lang w:val="zh-CN" w:eastAsia="zh-CN" w:bidi="ar-SA"/>
        </w:rPr>
        <w:t>）突出“强基础”，积极服务乡村人才培育；一方面，指导各项目县妥善安排25届21名省级农技特岗生毕业实习和就业安置工作，联合岳阳职业技术学院做好23级50名市级农技特岗生暑假实习和毕业实习。抓好全市基层农技人员学历提升，2025年全市基层学历提升成功申报74人次（高起专17人，专升本47人，农学硕士10人）；完成2025年岳阳市基层农技推广骨干市级培训200人次。另一方面，按《湖南省加强基层动植物疫病防控体系建设实施方案》要求，切实加强和完善植物疫病防控体系建设，指导各县市区配齐配强专业人员，进一步强化、夯实县、乡两级植保植检工作力量。广泛开展各类技术培训；积极做好全市农机报废更新补贴政策宣讲培训会、水稻机收减损现场示范会，机插机抛技术培训和现场演示观摩活动，举办了4期湖南省“农广助农”产业带头人培训、5期市本级高素质农民培育、实用技术培训。选派40余人次参加农业新质生产力发展研修班、湖南省和美乡村村舞培训班、湘川农业职业经理人联合培育班等，全年累计开展各类培训超2000余人次；组织好农民体育运动。</w:t>
      </w:r>
    </w:p>
    <w:p w14:paraId="2DF5BEA1">
      <w:pPr>
        <w:pStyle w:val="18"/>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61697E1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zh-CN" w:eastAsia="zh-CN"/>
        </w:rPr>
        <w:t>预算编制有待更严格执行。预算编制与实际支出项目有的存在差异，专项支出有待进一步加强。</w:t>
      </w:r>
    </w:p>
    <w:p w14:paraId="695CCA6F">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630" w:leftChars="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八、</w:t>
      </w:r>
      <w:r>
        <w:rPr>
          <w:rFonts w:hint="default" w:ascii="Times New Roman" w:hAnsi="Times New Roman" w:eastAsia="黑体" w:cs="Times New Roman"/>
          <w:sz w:val="32"/>
          <w:szCs w:val="32"/>
          <w:highlight w:val="none"/>
        </w:rPr>
        <w:t>下一步改进措施</w:t>
      </w:r>
    </w:p>
    <w:p w14:paraId="59CF239C">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14:paraId="0978D637">
      <w:pPr>
        <w:spacing w:before="156" w:beforeLines="50" w:after="156" w:afterLines="50"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7811B80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14:paraId="26ECF0B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2B5FE3A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464B359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3A7C196D">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5E75B4C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49E2B04B">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7EB85C5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494B3C02">
      <w:pPr>
        <w:pStyle w:val="2"/>
        <w:rPr>
          <w:rFonts w:hint="default"/>
        </w:rPr>
      </w:pPr>
    </w:p>
    <w:p w14:paraId="559D5A35">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p>
    <w:p w14:paraId="496BF4F0">
      <w:pPr>
        <w:pStyle w:val="12"/>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0EA35">
    <w:pPr>
      <w:spacing w:line="177" w:lineRule="auto"/>
      <w:ind w:left="545"/>
      <w:rPr>
        <w:rFonts w:ascii="宋体" w:hAnsi="宋体" w:eastAsia="宋体" w:cs="宋体"/>
        <w:sz w:val="31"/>
        <w:szCs w:val="31"/>
      </w:rPr>
    </w:pPr>
    <w:r>
      <w:rPr>
        <w:sz w:val="31"/>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07268">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F07268">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C6A17"/>
    <w:multiLevelType w:val="singleLevel"/>
    <w:tmpl w:val="EFFC6A17"/>
    <w:lvl w:ilvl="0" w:tentative="0">
      <w:start w:val="4"/>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55B0"/>
    <w:rsid w:val="00AE706C"/>
    <w:rsid w:val="09A920E8"/>
    <w:rsid w:val="0A5A5FF6"/>
    <w:rsid w:val="10A27B7D"/>
    <w:rsid w:val="2DF21419"/>
    <w:rsid w:val="35ED5087"/>
    <w:rsid w:val="38B90A1D"/>
    <w:rsid w:val="3AB4755E"/>
    <w:rsid w:val="3CB215A2"/>
    <w:rsid w:val="49321B27"/>
    <w:rsid w:val="4DEFF93C"/>
    <w:rsid w:val="50580E37"/>
    <w:rsid w:val="535F8EEF"/>
    <w:rsid w:val="552031D3"/>
    <w:rsid w:val="57B91ABD"/>
    <w:rsid w:val="615F322C"/>
    <w:rsid w:val="6A9042E2"/>
    <w:rsid w:val="709D722B"/>
    <w:rsid w:val="75F40E77"/>
    <w:rsid w:val="781F11A1"/>
    <w:rsid w:val="7C1D1DB2"/>
    <w:rsid w:val="7CF86158"/>
    <w:rsid w:val="7DB3BF7F"/>
    <w:rsid w:val="7FBF0C35"/>
    <w:rsid w:val="AEB51129"/>
    <w:rsid w:val="FFFEC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Times New Roman" w:cs="Times New Roman"/>
      <w:kern w:val="2"/>
      <w:sz w:val="21"/>
      <w:szCs w:val="24"/>
    </w:rPr>
  </w:style>
  <w:style w:type="paragraph" w:styleId="2">
    <w:name w:val="heading 2"/>
    <w:basedOn w:val="1"/>
    <w:next w:val="1"/>
    <w:qFormat/>
    <w:uiPriority w:val="0"/>
    <w:pPr>
      <w:keepNext/>
      <w:keepLines/>
      <w:jc w:val="center"/>
      <w:outlineLvl w:val="1"/>
    </w:pPr>
    <w:rPr>
      <w:rFonts w:eastAsia="楷体_GB2312"/>
      <w:bCs/>
      <w:szCs w:val="32"/>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99"/>
    <w:pPr>
      <w:spacing w:before="120" w:after="200" w:line="276" w:lineRule="auto"/>
    </w:pPr>
    <w:rPr>
      <w:rFonts w:ascii="Arial" w:hAnsi="Arial"/>
      <w:sz w:val="24"/>
    </w:rPr>
  </w:style>
  <w:style w:type="paragraph" w:styleId="5">
    <w:name w:val="Body Text"/>
    <w:basedOn w:val="1"/>
    <w:next w:val="1"/>
    <w:qFormat/>
    <w:uiPriority w:val="0"/>
    <w:rPr>
      <w:rFonts w:ascii="仿宋" w:hAnsi="仿宋" w:eastAsia="仿宋" w:cs="仿宋"/>
      <w:sz w:val="28"/>
      <w:szCs w:val="28"/>
      <w:lang w:val="zh-CN" w:bidi="zh-CN"/>
    </w:rPr>
  </w:style>
  <w:style w:type="paragraph" w:styleId="6">
    <w:name w:val="Body Text Indent"/>
    <w:basedOn w:val="1"/>
    <w:qFormat/>
    <w:uiPriority w:val="0"/>
    <w:pPr>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99"/>
  </w:style>
  <w:style w:type="paragraph" w:styleId="10">
    <w:name w:val="footnote text"/>
    <w:basedOn w:val="1"/>
    <w:qFormat/>
    <w:uiPriority w:val="0"/>
    <w:pPr>
      <w:snapToGrid w:val="0"/>
      <w:jc w:val="left"/>
    </w:pPr>
    <w:rPr>
      <w:kern w:val="0"/>
      <w:sz w:val="18"/>
      <w:szCs w:val="18"/>
    </w:rPr>
  </w:style>
  <w:style w:type="paragraph" w:styleId="11">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styleId="12">
    <w:name w:val="Body Text First Indent"/>
    <w:basedOn w:val="5"/>
    <w:qFormat/>
    <w:uiPriority w:val="0"/>
    <w:pPr>
      <w:spacing w:line="500" w:lineRule="exact"/>
      <w:ind w:firstLine="420"/>
    </w:pPr>
    <w:rPr>
      <w:rFonts w:ascii="Calibri" w:hAnsi="Calibri" w:eastAsia="宋体" w:cs="Times New Roman"/>
      <w:szCs w:val="20"/>
    </w:rPr>
  </w:style>
  <w:style w:type="paragraph" w:styleId="13">
    <w:name w:val="Body Text First Indent 2"/>
    <w:basedOn w:val="6"/>
    <w:qFormat/>
    <w:uiPriority w:val="0"/>
    <w:pPr>
      <w:ind w:firstLine="420" w:firstLineChars="200"/>
    </w:p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7">
    <w:name w:val="NormalCharacter"/>
    <w:qFormat/>
    <w:uiPriority w:val="0"/>
  </w:style>
  <w:style w:type="paragraph" w:styleId="1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2024-09-20T17:53:00Z</dcterms:created>
  <dc:creator>Administrator</dc:creator>
  <cp:lastModifiedBy>kylin</cp:lastModifiedBy>
  <cp:lastPrinted>2026-06-16T14:43:41Z</cp:lastPrinted>
  <dcterms:modified xsi:type="dcterms:W3CDTF">2026-06-16T14:44:54Z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25DC2518F02963FE9ED7286ADC4D0DA8_43</vt:lpwstr>
  </property>
</Properties>
</file>